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仅供参考</w:t>
      </w:r>
      <w:bookmarkStart w:id="0" w:name="_GoBack"/>
      <w:bookmarkEnd w:id="0"/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宋体"/>
          <w:b/>
          <w:bCs/>
          <w:sz w:val="52"/>
          <w:szCs w:val="22"/>
          <w:lang w:val="en-US" w:eastAsia="zh-CN"/>
        </w:rPr>
        <w:t xml:space="preserve"> </w:t>
      </w:r>
      <w:r>
        <w:rPr>
          <w:rFonts w:hint="eastAsia" w:eastAsia="宋体"/>
          <w:b/>
          <w:bCs/>
          <w:sz w:val="52"/>
          <w:szCs w:val="22"/>
          <w:lang w:eastAsia="zh-CN"/>
        </w:rPr>
        <w:t>设备采购项目</w:t>
      </w: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2B05516B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7F6E3F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 ，达到付款条件起 7 日内，支付合同总金额的 40.00%。</w:t>
      </w:r>
    </w:p>
    <w:p w14:paraId="13ED3B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验收合格后 ，达到付款条件起 7 日内，支付合同总金额的 50.00%。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审计完成后 ，达到付款条件起 7 日内，支付合同总金额的 10.00%。。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DF372B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296C8F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7B5372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CA045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921094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1326</Words>
  <Characters>1359</Characters>
  <Lines>73</Lines>
  <Paragraphs>20</Paragraphs>
  <TotalTime>5</TotalTime>
  <ScaleCrop>false</ScaleCrop>
  <LinksUpToDate>false</LinksUpToDate>
  <CharactersWithSpaces>1599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dxsa</cp:lastModifiedBy>
  <cp:lastPrinted>2023-10-17T01:45:00Z</cp:lastPrinted>
  <dcterms:modified xsi:type="dcterms:W3CDTF">2025-07-18T02:19:23Z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2052-12.1.0.21915</vt:lpwstr>
  </property>
  <property fmtid="{D5CDD505-2E9C-101B-9397-08002B2CF9AE}" pid="5" name="ICV">
    <vt:lpwstr>5174040809A04167816F7E72805CBA8D_13</vt:lpwstr>
  </property>
  <property fmtid="{D5CDD505-2E9C-101B-9397-08002B2CF9AE}" pid="6" name="KSOTemplateDocerSaveRecord">
    <vt:lpwstr>eyJoZGlkIjoiZTQ1ZWI4ODJiYzBmZGI4MTYwNGEyODYyMWE0NjE4YjEiLCJ1c2VySWQiOiIxMzQ2NzAzMTY1In0=</vt:lpwstr>
  </property>
</Properties>
</file>