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版本号：SGLQ-2025010.1B120250715001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周至县2025年学生结核菌素测试及视力测试技术服务项目(二次)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SGLQ-2025010.1B1</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周至县2025年学生结核菌素测试及视力测试技术服务项目(二次)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SGLQ-2025010.1B1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周至县2025年学生结核菌素测试及视力测试技术服务项目(二次)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周至县2025年学生结核菌素测试及视力测试技术服务，详见招标文件要求。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1、营业执照等证明文件：投标人的营业执照等证明文件，自然人的身份证明</w:t>
      </w:r>
    </w:p>
    <w:p>
      <w:pPr>
        <w:pStyle w:val="null3"/>
      </w:pPr>
      <w:r>
        <w:rPr>
          <w:rFonts w:ascii="仿宋_GB2312" w:hAnsi="仿宋_GB2312" w:cs="仿宋_GB2312" w:eastAsia="仿宋_GB2312"/>
        </w:rPr>
        <w:t>2、财务状况：提供2024年度经审计的财务会计报告或其提交响应文件截止时间前3个月内银行出具的资信证明；</w:t>
      </w:r>
    </w:p>
    <w:p>
      <w:pPr>
        <w:pStyle w:val="null3"/>
      </w:pPr>
      <w:r>
        <w:rPr>
          <w:rFonts w:ascii="仿宋_GB2312" w:hAnsi="仿宋_GB2312" w:cs="仿宋_GB2312" w:eastAsia="仿宋_GB2312"/>
        </w:rPr>
        <w:t>3、纳税证明：提供投标人2025年1月至今任意时段已缴纳完税凭证或税务机关开具的完税证明（除个人所得税的任意税种；依法免税的应提供相关文件证明；</w:t>
      </w:r>
    </w:p>
    <w:p>
      <w:pPr>
        <w:pStyle w:val="null3"/>
      </w:pPr>
      <w:r>
        <w:rPr>
          <w:rFonts w:ascii="仿宋_GB2312" w:hAnsi="仿宋_GB2312" w:cs="仿宋_GB2312" w:eastAsia="仿宋_GB2312"/>
        </w:rPr>
        <w:t>4、社保缴纳证明：提供投标人2025年1月至今任意时段已缴纳的社会保障资金缴存单据或社保机构开具的社会保险参保缴费情况证明；依法不需要缴纳社会保障资金的应提供相关文件证明；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5、提供投标人具备履行合同所必需的设备和专业技术能力的声明；：提供投标人具备履行合同所必需的设备和专业技术能力的声明；</w:t>
      </w:r>
    </w:p>
    <w:p>
      <w:pPr>
        <w:pStyle w:val="null3"/>
      </w:pPr>
      <w:r>
        <w:rPr>
          <w:rFonts w:ascii="仿宋_GB2312" w:hAnsi="仿宋_GB2312" w:cs="仿宋_GB2312" w:eastAsia="仿宋_GB2312"/>
        </w:rPr>
        <w:t>6、在经营活动中没有重大违法记录的书面声明；：投标人参加本次采购活动3年内，在经营活动中没有重大违法记录的书面声明；</w:t>
      </w:r>
    </w:p>
    <w:p>
      <w:pPr>
        <w:pStyle w:val="null3"/>
      </w:pPr>
      <w:r>
        <w:rPr>
          <w:rFonts w:ascii="仿宋_GB2312" w:hAnsi="仿宋_GB2312" w:cs="仿宋_GB2312" w:eastAsia="仿宋_GB2312"/>
        </w:rPr>
        <w:t>7、信用查询：不得为“信用中国”网站(http：//www.creditchina.gov.cn)列入“失信被执行人、重大税收违法失信主体”的投标人；不得为中国政府采购网(http：//www.ccgp.gov.cn)“政府采购严重违法失信行为记录名单”中的投标人；</w:t>
      </w:r>
    </w:p>
    <w:p>
      <w:pPr>
        <w:pStyle w:val="null3"/>
      </w:pPr>
      <w:r>
        <w:rPr>
          <w:rFonts w:ascii="仿宋_GB2312" w:hAnsi="仿宋_GB2312" w:cs="仿宋_GB2312" w:eastAsia="仿宋_GB2312"/>
        </w:rPr>
        <w:t>8、控股、管理关系：单位负责人为同一人或者存在直接控股、管理关系的不同投标人，不得参加同一合同项下的采购活动；</w:t>
      </w:r>
    </w:p>
    <w:p>
      <w:pPr>
        <w:pStyle w:val="null3"/>
      </w:pPr>
      <w:r>
        <w:rPr>
          <w:rFonts w:ascii="仿宋_GB2312" w:hAnsi="仿宋_GB2312" w:cs="仿宋_GB2312" w:eastAsia="仿宋_GB2312"/>
        </w:rPr>
        <w:t>9、资质要求：持有有效的《医疗机构执业许可证》（副本栏目上注明健康体检资质）；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周至县教育和科学技术局经办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87151801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陕西省西安市市辖区陕西省西安市曲江新区雁塔南路金辉环球广所场C座 1509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代理服务费收费标准：本项目招标代理服务费定额收取人名币：壹万元整</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周至县教育和科学技术局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陕西尚格利清项目管理有限公司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满足国家和行业制定的相应的标准和规范； 满足招标文件要求的全部内容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周至县教育和科学技术局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地址：陕西省西安市曲江新区雁塔南路金辉环球广场C座1509室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周至县2025年学生结核菌素测试及视力测试技术服务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602,500.00</w:t>
      </w:r>
    </w:p>
    <w:p>
      <w:pPr>
        <w:pStyle w:val="null3"/>
      </w:pPr>
      <w:r>
        <w:rPr>
          <w:rFonts w:ascii="仿宋_GB2312" w:hAnsi="仿宋_GB2312" w:cs="仿宋_GB2312" w:eastAsia="仿宋_GB2312"/>
        </w:rPr>
        <w:t>采购包最高限价（元）: 35.90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详见招投标文件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602,500.00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标的名称：详见招投标文件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采购</w:t>
            </w:r>
            <w:r>
              <w:rPr>
                <w:rFonts w:ascii="仿宋_GB2312" w:hAnsi="仿宋_GB2312" w:cs="仿宋_GB2312" w:eastAsia="仿宋_GB2312"/>
                <w:sz w:val="24"/>
                <w:b/>
              </w:rPr>
              <w:t>内容</w:t>
            </w:r>
          </w:p>
          <w:p>
            <w:pPr>
              <w:pStyle w:val="null3"/>
              <w:ind w:firstLine="480"/>
              <w:jc w:val="left"/>
            </w:pPr>
            <w:r>
              <w:rPr>
                <w:rFonts w:ascii="仿宋_GB2312" w:hAnsi="仿宋_GB2312" w:cs="仿宋_GB2312" w:eastAsia="仿宋_GB2312"/>
                <w:sz w:val="24"/>
              </w:rPr>
              <w:t>为了贯彻落实《关于进一步加强中小学生健康体检工作的意见》（陕教体发【</w:t>
            </w:r>
            <w:r>
              <w:rPr>
                <w:rFonts w:ascii="仿宋_GB2312" w:hAnsi="仿宋_GB2312" w:cs="仿宋_GB2312" w:eastAsia="仿宋_GB2312"/>
                <w:sz w:val="24"/>
              </w:rPr>
              <w:t>2009</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号），规范学生健康体检工作，依据《财政部政府购买服务管理办法（暂行）》结合《中华人民共和国合同法和中华人民共和国政府采购法》，甲方通过公开招标采购初一、高一入学新生结核菌素测试和视力测试技术服务工作。</w:t>
            </w:r>
          </w:p>
          <w:p>
            <w:pPr>
              <w:pStyle w:val="null3"/>
              <w:ind w:firstLine="480"/>
              <w:jc w:val="left"/>
            </w:pPr>
            <w:r>
              <w:rPr>
                <w:rFonts w:ascii="仿宋_GB2312" w:hAnsi="仿宋_GB2312" w:cs="仿宋_GB2312" w:eastAsia="仿宋_GB2312"/>
                <w:sz w:val="24"/>
              </w:rPr>
              <w:t>服务内容：乙方为周至县2024-2025年学年度初一、高一入学新生进行结核菌素测试工作，为全县中小学生进行视力测试技术服务工作，并服从甲方的管理。</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、体检对象</w:t>
            </w:r>
          </w:p>
          <w:p>
            <w:pPr>
              <w:pStyle w:val="null3"/>
              <w:ind w:firstLine="480"/>
              <w:jc w:val="left"/>
            </w:pPr>
            <w:r>
              <w:rPr>
                <w:rFonts w:ascii="仿宋_GB2312" w:hAnsi="仿宋_GB2312" w:cs="仿宋_GB2312" w:eastAsia="仿宋_GB2312"/>
                <w:sz w:val="24"/>
              </w:rPr>
              <w:t>初一、高一学生进行一次结核菌素试验，全县中小学生进行一次视力测试服务（左眼裸眼视力、左眼屈光度、右眼裸眼视力、右眼屈光度）</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、体检项目</w:t>
            </w:r>
          </w:p>
          <w:tbl>
            <w:tblPr>
              <w:tblInd w:type="dxa" w:w="90"/>
              <w:tblBorders>
                <w:top w:val="none" w:color="000000" w:sz="4"/>
                <w:left w:val="none" w:color="000000" w:sz="4"/>
                <w:bottom w:val="none" w:color="000000" w:sz="4"/>
                <w:right w:val="none" w:color="000000" w:sz="4"/>
                <w:insideH w:val="none"/>
                <w:insideV w:val="none"/>
              </w:tblBorders>
            </w:tblPr>
            <w:tblGrid>
              <w:gridCol w:w="140"/>
              <w:gridCol w:w="547"/>
              <w:gridCol w:w="1597"/>
              <w:gridCol w:w="267"/>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项目内容</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视力测试技术服务（单项）（检查学生数约：</w:t>
                  </w:r>
                  <w:r>
                    <w:rPr>
                      <w:rFonts w:ascii="仿宋_GB2312" w:hAnsi="仿宋_GB2312" w:cs="仿宋_GB2312" w:eastAsia="仿宋_GB2312"/>
                      <w:sz w:val="20"/>
                      <w:color w:val="000000"/>
                    </w:rPr>
                    <w:t>5.635万</w:t>
                  </w:r>
                  <w:r>
                    <w:rPr>
                      <w:rFonts w:ascii="仿宋_GB2312" w:hAnsi="仿宋_GB2312" w:cs="仿宋_GB2312" w:eastAsia="仿宋_GB2312"/>
                      <w:sz w:val="20"/>
                      <w:color w:val="000000"/>
                    </w:rPr>
                    <w:t>）</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视力测试（近视力、远视力、矫正视力、沙眼、色觉、辨色力、屈光度）</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/人</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结核菌素测试（单项）（检查学生数约：</w:t>
                  </w:r>
                  <w:r>
                    <w:rPr>
                      <w:rFonts w:ascii="仿宋_GB2312" w:hAnsi="仿宋_GB2312" w:cs="仿宋_GB2312" w:eastAsia="仿宋_GB2312"/>
                      <w:sz w:val="20"/>
                      <w:color w:val="000000"/>
                    </w:rPr>
                    <w:t>0.9</w:t>
                  </w:r>
                  <w:r>
                    <w:rPr>
                      <w:rFonts w:ascii="仿宋_GB2312" w:hAnsi="仿宋_GB2312" w:cs="仿宋_GB2312" w:eastAsia="仿宋_GB2312"/>
                      <w:sz w:val="20"/>
                      <w:color w:val="000000"/>
                    </w:rPr>
                    <w:t>万）</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结核菌素测试（人型试剂）</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元</w:t>
                  </w:r>
                  <w:r>
                    <w:rPr>
                      <w:rFonts w:ascii="仿宋_GB2312" w:hAnsi="仿宋_GB2312" w:cs="仿宋_GB2312" w:eastAsia="仿宋_GB2312"/>
                      <w:sz w:val="20"/>
                      <w:color w:val="000000"/>
                    </w:rPr>
                    <w:t>/人</w:t>
                  </w:r>
                </w:p>
              </w:tc>
            </w:tr>
          </w:tbl>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、体检时间</w:t>
            </w:r>
            <w:r>
              <w:rPr>
                <w:rFonts w:ascii="仿宋_GB2312" w:hAnsi="仿宋_GB2312" w:cs="仿宋_GB2312" w:eastAsia="仿宋_GB2312"/>
                <w:sz w:val="24"/>
              </w:rPr>
              <w:t>、</w:t>
            </w:r>
            <w:r>
              <w:rPr>
                <w:rFonts w:ascii="仿宋_GB2312" w:hAnsi="仿宋_GB2312" w:cs="仿宋_GB2312" w:eastAsia="仿宋_GB2312"/>
                <w:sz w:val="24"/>
              </w:rPr>
              <w:t>地点</w:t>
            </w:r>
          </w:p>
          <w:p>
            <w:pPr>
              <w:pStyle w:val="null3"/>
              <w:ind w:firstLine="480"/>
              <w:jc w:val="left"/>
            </w:pPr>
            <w:r>
              <w:rPr>
                <w:rFonts w:ascii="仿宋_GB2312" w:hAnsi="仿宋_GB2312" w:cs="仿宋_GB2312" w:eastAsia="仿宋_GB2312"/>
                <w:sz w:val="24"/>
              </w:rPr>
              <w:t>体检时间：</w:t>
            </w:r>
            <w:r>
              <w:rPr>
                <w:rFonts w:ascii="仿宋_GB2312" w:hAnsi="仿宋_GB2312" w:cs="仿宋_GB2312" w:eastAsia="仿宋_GB2312"/>
                <w:sz w:val="24"/>
              </w:rPr>
              <w:t>2025</w:t>
            </w:r>
            <w:r>
              <w:rPr>
                <w:rFonts w:ascii="仿宋_GB2312" w:hAnsi="仿宋_GB2312" w:cs="仿宋_GB2312" w:eastAsia="仿宋_GB2312"/>
                <w:sz w:val="24"/>
              </w:rPr>
              <w:t xml:space="preserve">年 </w:t>
            </w:r>
            <w:r>
              <w:rPr>
                <w:rFonts w:ascii="仿宋_GB2312" w:hAnsi="仿宋_GB2312" w:cs="仿宋_GB2312" w:eastAsia="仿宋_GB2312"/>
                <w:sz w:val="24"/>
              </w:rPr>
              <w:t>7</w:t>
            </w:r>
            <w:r>
              <w:rPr>
                <w:rFonts w:ascii="仿宋_GB2312" w:hAnsi="仿宋_GB2312" w:cs="仿宋_GB2312" w:eastAsia="仿宋_GB2312"/>
                <w:sz w:val="24"/>
              </w:rPr>
              <w:t>月</w:t>
            </w:r>
            <w:r>
              <w:rPr>
                <w:rFonts w:ascii="仿宋_GB2312" w:hAnsi="仿宋_GB2312" w:cs="仿宋_GB2312" w:eastAsia="仿宋_GB2312"/>
                <w:sz w:val="24"/>
              </w:rPr>
              <w:t>—</w:t>
            </w:r>
            <w:r>
              <w:rPr>
                <w:rFonts w:ascii="仿宋_GB2312" w:hAnsi="仿宋_GB2312" w:cs="仿宋_GB2312" w:eastAsia="仿宋_GB2312"/>
                <w:sz w:val="24"/>
              </w:rPr>
              <w:t>2026</w:t>
            </w:r>
            <w:r>
              <w:rPr>
                <w:rFonts w:ascii="仿宋_GB2312" w:hAnsi="仿宋_GB2312" w:cs="仿宋_GB2312" w:eastAsia="仿宋_GB2312"/>
                <w:sz w:val="24"/>
              </w:rPr>
              <w:t xml:space="preserve">年 </w:t>
            </w:r>
            <w:r>
              <w:rPr>
                <w:rFonts w:ascii="仿宋_GB2312" w:hAnsi="仿宋_GB2312" w:cs="仿宋_GB2312" w:eastAsia="仿宋_GB2312"/>
                <w:sz w:val="24"/>
              </w:rPr>
              <w:t>6</w:t>
            </w:r>
            <w:r>
              <w:rPr>
                <w:rFonts w:ascii="仿宋_GB2312" w:hAnsi="仿宋_GB2312" w:cs="仿宋_GB2312" w:eastAsia="仿宋_GB2312"/>
                <w:sz w:val="24"/>
              </w:rPr>
              <w:t>月</w:t>
            </w:r>
            <w:r>
              <w:rPr>
                <w:rFonts w:ascii="仿宋_GB2312" w:hAnsi="仿宋_GB2312" w:cs="仿宋_GB2312" w:eastAsia="仿宋_GB2312"/>
                <w:sz w:val="24"/>
              </w:rPr>
              <w:t>30</w:t>
            </w:r>
            <w:r>
              <w:rPr>
                <w:rFonts w:ascii="仿宋_GB2312" w:hAnsi="仿宋_GB2312" w:cs="仿宋_GB2312" w:eastAsia="仿宋_GB2312"/>
                <w:sz w:val="24"/>
              </w:rPr>
              <w:t>日</w:t>
            </w:r>
            <w:r>
              <w:rPr>
                <w:rFonts w:ascii="仿宋_GB2312" w:hAnsi="仿宋_GB2312" w:cs="仿宋_GB2312" w:eastAsia="仿宋_GB2312"/>
                <w:sz w:val="24"/>
              </w:rPr>
              <w:t>（</w:t>
            </w:r>
            <w:r>
              <w:rPr>
                <w:rFonts w:ascii="仿宋_GB2312" w:hAnsi="仿宋_GB2312" w:cs="仿宋_GB2312" w:eastAsia="仿宋_GB2312"/>
                <w:sz w:val="24"/>
              </w:rPr>
              <w:t>以采购人通知时间为准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服务地点：采购人指定地点。</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、技术要求</w:t>
            </w:r>
          </w:p>
          <w:p>
            <w:pPr>
              <w:pStyle w:val="null3"/>
              <w:ind w:firstLine="480"/>
              <w:jc w:val="left"/>
            </w:pPr>
            <w:r>
              <w:rPr>
                <w:rFonts w:ascii="仿宋_GB2312" w:hAnsi="仿宋_GB2312" w:cs="仿宋_GB2312" w:eastAsia="仿宋_GB2312"/>
                <w:sz w:val="24"/>
              </w:rPr>
              <w:t>4.1</w:t>
            </w:r>
            <w:r>
              <w:rPr>
                <w:rFonts w:ascii="仿宋_GB2312" w:hAnsi="仿宋_GB2312" w:cs="仿宋_GB2312" w:eastAsia="仿宋_GB2312"/>
                <w:sz w:val="24"/>
              </w:rPr>
              <w:t>严格遵守</w:t>
            </w:r>
            <w:r>
              <w:rPr>
                <w:rFonts w:ascii="仿宋_GB2312" w:hAnsi="仿宋_GB2312" w:cs="仿宋_GB2312" w:eastAsia="仿宋_GB2312"/>
                <w:sz w:val="24"/>
              </w:rPr>
              <w:t>卫生部关于印发《健康体检管理暂行规定》的通知</w:t>
            </w:r>
            <w:r>
              <w:rPr>
                <w:rFonts w:ascii="仿宋_GB2312" w:hAnsi="仿宋_GB2312" w:cs="仿宋_GB2312" w:eastAsia="仿宋_GB2312"/>
                <w:sz w:val="24"/>
              </w:rPr>
              <w:t>及中小学生健康</w:t>
            </w:r>
            <w:r>
              <w:rPr>
                <w:rFonts w:ascii="仿宋_GB2312" w:hAnsi="仿宋_GB2312" w:cs="仿宋_GB2312" w:eastAsia="仿宋_GB2312"/>
                <w:sz w:val="24"/>
              </w:rPr>
              <w:t>体检管理办法、遵守陕西省、市（县）或招标人当地关于中小学生健康体检的相关规范和要求。</w:t>
            </w:r>
          </w:p>
          <w:p>
            <w:pPr>
              <w:pStyle w:val="null3"/>
              <w:ind w:firstLine="480"/>
              <w:jc w:val="left"/>
            </w:pPr>
            <w:r>
              <w:rPr>
                <w:rFonts w:ascii="仿宋_GB2312" w:hAnsi="仿宋_GB2312" w:cs="仿宋_GB2312" w:eastAsia="仿宋_GB2312"/>
                <w:sz w:val="24"/>
              </w:rPr>
              <w:t>4.2</w:t>
            </w:r>
            <w:r>
              <w:rPr>
                <w:rFonts w:ascii="仿宋_GB2312" w:hAnsi="仿宋_GB2312" w:cs="仿宋_GB2312" w:eastAsia="仿宋_GB2312"/>
                <w:sz w:val="24"/>
              </w:rPr>
              <w:t>学生健康体检所需的医疗检查设备的种类、数量、性能、量程、精度能满足工作需要，并能良好运行，定期校验；仪器设备有完整的操作规程。</w:t>
            </w:r>
          </w:p>
          <w:p>
            <w:pPr>
              <w:pStyle w:val="null3"/>
              <w:ind w:firstLine="480"/>
              <w:jc w:val="left"/>
            </w:pPr>
            <w:r>
              <w:rPr>
                <w:rFonts w:ascii="仿宋_GB2312" w:hAnsi="仿宋_GB2312" w:cs="仿宋_GB2312" w:eastAsia="仿宋_GB2312"/>
                <w:sz w:val="24"/>
              </w:rPr>
              <w:t>4.3</w:t>
            </w:r>
            <w:r>
              <w:rPr>
                <w:rFonts w:ascii="仿宋_GB2312" w:hAnsi="仿宋_GB2312" w:cs="仿宋_GB2312" w:eastAsia="仿宋_GB2312"/>
                <w:sz w:val="24"/>
              </w:rPr>
              <w:t>体检器具的消毒应符合《医院消毒卫生标准（</w:t>
            </w:r>
            <w:r>
              <w:rPr>
                <w:rFonts w:ascii="仿宋_GB2312" w:hAnsi="仿宋_GB2312" w:cs="仿宋_GB2312" w:eastAsia="仿宋_GB2312"/>
                <w:sz w:val="24"/>
              </w:rPr>
              <w:t>GB15982</w:t>
            </w:r>
            <w:r>
              <w:rPr>
                <w:rFonts w:ascii="仿宋_GB2312" w:hAnsi="仿宋_GB2312" w:cs="仿宋_GB2312" w:eastAsia="仿宋_GB2312"/>
                <w:sz w:val="24"/>
              </w:rPr>
              <w:t>—</w:t>
            </w:r>
            <w:r>
              <w:rPr>
                <w:rFonts w:ascii="仿宋_GB2312" w:hAnsi="仿宋_GB2312" w:cs="仿宋_GB2312" w:eastAsia="仿宋_GB2312"/>
                <w:sz w:val="24"/>
              </w:rPr>
              <w:t>1995</w:t>
            </w:r>
            <w:r>
              <w:rPr>
                <w:rFonts w:ascii="仿宋_GB2312" w:hAnsi="仿宋_GB2312" w:cs="仿宋_GB2312" w:eastAsia="仿宋_GB2312"/>
                <w:sz w:val="24"/>
              </w:rPr>
              <w:t>）》中的医疗用品卫生标准的规定。</w:t>
            </w:r>
          </w:p>
          <w:p>
            <w:pPr>
              <w:pStyle w:val="null3"/>
              <w:ind w:firstLine="480"/>
              <w:jc w:val="left"/>
            </w:pPr>
            <w:r>
              <w:rPr>
                <w:rFonts w:ascii="仿宋_GB2312" w:hAnsi="仿宋_GB2312" w:cs="仿宋_GB2312" w:eastAsia="仿宋_GB2312"/>
                <w:sz w:val="24"/>
              </w:rPr>
              <w:t>4.4</w:t>
            </w:r>
            <w:r>
              <w:rPr>
                <w:rFonts w:ascii="仿宋_GB2312" w:hAnsi="仿宋_GB2312" w:cs="仿宋_GB2312" w:eastAsia="仿宋_GB2312"/>
                <w:sz w:val="24"/>
              </w:rPr>
              <w:t>健康体检机构应有良好的内务管理，检查仪器放置合理，便于操作，配有必要的消毒、防污染、防火、控制进入等安全措施；</w:t>
            </w:r>
          </w:p>
          <w:p>
            <w:pPr>
              <w:pStyle w:val="null3"/>
              <w:ind w:firstLine="480"/>
              <w:jc w:val="left"/>
            </w:pPr>
            <w:r>
              <w:rPr>
                <w:rFonts w:ascii="仿宋_GB2312" w:hAnsi="仿宋_GB2312" w:cs="仿宋_GB2312" w:eastAsia="仿宋_GB2312"/>
                <w:sz w:val="24"/>
              </w:rPr>
              <w:t>4.5</w:t>
            </w:r>
            <w:r>
              <w:rPr>
                <w:rFonts w:ascii="仿宋_GB2312" w:hAnsi="仿宋_GB2312" w:cs="仿宋_GB2312" w:eastAsia="仿宋_GB2312"/>
                <w:sz w:val="24"/>
              </w:rPr>
              <w:t>检测方法应尽可能采用国际、国家、行业或地方规定的方法或标准；</w:t>
            </w:r>
          </w:p>
          <w:p>
            <w:pPr>
              <w:pStyle w:val="null3"/>
              <w:ind w:firstLine="480"/>
              <w:jc w:val="left"/>
            </w:pPr>
            <w:r>
              <w:rPr>
                <w:rFonts w:ascii="仿宋_GB2312" w:hAnsi="仿宋_GB2312" w:cs="仿宋_GB2312" w:eastAsia="仿宋_GB2312"/>
                <w:sz w:val="24"/>
              </w:rPr>
              <w:t>4.6</w:t>
            </w:r>
            <w:r>
              <w:rPr>
                <w:rFonts w:ascii="仿宋_GB2312" w:hAnsi="仿宋_GB2312" w:cs="仿宋_GB2312" w:eastAsia="仿宋_GB2312"/>
                <w:sz w:val="24"/>
              </w:rPr>
              <w:t>编制有质量管理体系文件，并严格开展质量控制；</w:t>
            </w:r>
          </w:p>
          <w:p>
            <w:pPr>
              <w:pStyle w:val="null3"/>
              <w:ind w:firstLine="480"/>
              <w:jc w:val="left"/>
            </w:pPr>
            <w:r>
              <w:rPr>
                <w:rFonts w:ascii="仿宋_GB2312" w:hAnsi="仿宋_GB2312" w:cs="仿宋_GB2312" w:eastAsia="仿宋_GB2312"/>
                <w:sz w:val="24"/>
              </w:rPr>
              <w:t>4.7</w:t>
            </w:r>
            <w:r>
              <w:rPr>
                <w:rFonts w:ascii="仿宋_GB2312" w:hAnsi="仿宋_GB2312" w:cs="仿宋_GB2312" w:eastAsia="仿宋_GB2312"/>
                <w:sz w:val="24"/>
              </w:rPr>
              <w:t>体检报告按照规定书写、更改、审核、签章、分发、保存和统计；</w:t>
            </w:r>
          </w:p>
          <w:p>
            <w:pPr>
              <w:pStyle w:val="null3"/>
              <w:ind w:firstLine="480"/>
              <w:jc w:val="left"/>
            </w:pPr>
            <w:r>
              <w:rPr>
                <w:rFonts w:ascii="仿宋_GB2312" w:hAnsi="仿宋_GB2312" w:cs="仿宋_GB2312" w:eastAsia="仿宋_GB2312"/>
                <w:sz w:val="24"/>
              </w:rPr>
              <w:t>4.8</w:t>
            </w:r>
            <w:r>
              <w:rPr>
                <w:rFonts w:ascii="仿宋_GB2312" w:hAnsi="仿宋_GB2312" w:cs="仿宋_GB2312" w:eastAsia="仿宋_GB2312"/>
                <w:sz w:val="24"/>
              </w:rPr>
              <w:t>供应商需保证所有体检结果的准确性和真实性。</w:t>
            </w:r>
          </w:p>
          <w:p>
            <w:pPr>
              <w:pStyle w:val="null3"/>
              <w:ind w:firstLine="480"/>
              <w:jc w:val="left"/>
            </w:pPr>
            <w:r>
              <w:rPr>
                <w:rFonts w:ascii="仿宋_GB2312" w:hAnsi="仿宋_GB2312" w:cs="仿宋_GB2312" w:eastAsia="仿宋_GB2312"/>
                <w:sz w:val="24"/>
              </w:rPr>
              <w:t>5</w:t>
            </w: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5.1</w:t>
            </w:r>
            <w:r>
              <w:rPr>
                <w:rFonts w:ascii="仿宋_GB2312" w:hAnsi="仿宋_GB2312" w:cs="仿宋_GB2312" w:eastAsia="仿宋_GB2312"/>
                <w:sz w:val="24"/>
              </w:rPr>
              <w:t>体检服务方案，运作流程管理，体检时间安排，体检报告管理，健康档案管理，体检服务各项质量标准的承诺及目标，服务质量控制措施等符合项目实际。</w:t>
            </w:r>
          </w:p>
          <w:p>
            <w:pPr>
              <w:pStyle w:val="null3"/>
              <w:ind w:firstLine="480"/>
              <w:jc w:val="left"/>
            </w:pPr>
            <w:r>
              <w:rPr>
                <w:rFonts w:ascii="仿宋_GB2312" w:hAnsi="仿宋_GB2312" w:cs="仿宋_GB2312" w:eastAsia="仿宋_GB2312"/>
                <w:sz w:val="24"/>
              </w:rPr>
              <w:t>5.2</w:t>
            </w:r>
            <w:r>
              <w:rPr>
                <w:rFonts w:ascii="仿宋_GB2312" w:hAnsi="仿宋_GB2312" w:cs="仿宋_GB2312" w:eastAsia="仿宋_GB2312"/>
                <w:sz w:val="24"/>
              </w:rPr>
              <w:t>体检机构拥有独立的体检信息系统，无纸化、自动化、数字化体检管理，自动生成个人体检报告、综述、建议，体检结果迅速，信息保存完整。</w:t>
            </w:r>
          </w:p>
          <w:p>
            <w:pPr>
              <w:pStyle w:val="null3"/>
              <w:ind w:firstLine="480"/>
              <w:jc w:val="left"/>
            </w:pPr>
            <w:r>
              <w:rPr>
                <w:rFonts w:ascii="仿宋_GB2312" w:hAnsi="仿宋_GB2312" w:cs="仿宋_GB2312" w:eastAsia="仿宋_GB2312"/>
                <w:sz w:val="24"/>
              </w:rPr>
              <w:t>5.3</w:t>
            </w:r>
            <w:r>
              <w:rPr>
                <w:rFonts w:ascii="仿宋_GB2312" w:hAnsi="仿宋_GB2312" w:cs="仿宋_GB2312" w:eastAsia="仿宋_GB2312"/>
                <w:sz w:val="24"/>
              </w:rPr>
              <w:t>供应商需建立预警机制，针对学生个人体检时出现的重大疾病可以提供市/县级优质医疗资源绿色通道服务。</w:t>
            </w:r>
          </w:p>
          <w:p>
            <w:pPr>
              <w:pStyle w:val="null3"/>
              <w:ind w:firstLine="480"/>
              <w:jc w:val="left"/>
            </w:pPr>
            <w:r>
              <w:rPr>
                <w:rFonts w:ascii="仿宋_GB2312" w:hAnsi="仿宋_GB2312" w:cs="仿宋_GB2312" w:eastAsia="仿宋_GB2312"/>
                <w:sz w:val="24"/>
              </w:rPr>
              <w:t>5.4</w:t>
            </w:r>
            <w:r>
              <w:rPr>
                <w:rFonts w:ascii="仿宋_GB2312" w:hAnsi="仿宋_GB2312" w:cs="仿宋_GB2312" w:eastAsia="仿宋_GB2312"/>
                <w:sz w:val="24"/>
              </w:rPr>
              <w:t>供应商应在体检期间做好标识标牌，保证参检人员方便快捷进行各项体检。</w:t>
            </w:r>
          </w:p>
          <w:p>
            <w:pPr>
              <w:pStyle w:val="null3"/>
              <w:ind w:firstLine="480"/>
              <w:jc w:val="left"/>
            </w:pPr>
            <w:r>
              <w:rPr>
                <w:rFonts w:ascii="仿宋_GB2312" w:hAnsi="仿宋_GB2312" w:cs="仿宋_GB2312" w:eastAsia="仿宋_GB2312"/>
                <w:sz w:val="24"/>
              </w:rPr>
              <w:t>5.5</w:t>
            </w:r>
            <w:r>
              <w:rPr>
                <w:rFonts w:ascii="仿宋_GB2312" w:hAnsi="仿宋_GB2312" w:cs="仿宋_GB2312" w:eastAsia="仿宋_GB2312"/>
                <w:sz w:val="24"/>
              </w:rPr>
              <w:t>按规定的检查项目内容为参检人员提供对应的体检服务和体检器材</w:t>
            </w:r>
            <w:r>
              <w:rPr>
                <w:rFonts w:ascii="仿宋_GB2312" w:hAnsi="仿宋_GB2312" w:cs="仿宋_GB2312" w:eastAsia="仿宋_GB2312"/>
                <w:sz w:val="24"/>
              </w:rPr>
              <w:t>,</w:t>
            </w:r>
            <w:r>
              <w:rPr>
                <w:rFonts w:ascii="仿宋_GB2312" w:hAnsi="仿宋_GB2312" w:cs="仿宋_GB2312" w:eastAsia="仿宋_GB2312"/>
                <w:sz w:val="24"/>
              </w:rPr>
              <w:t>保证一人一针一管（器），器材符合国家卫生标准。</w:t>
            </w:r>
          </w:p>
          <w:p>
            <w:pPr>
              <w:pStyle w:val="null3"/>
              <w:ind w:firstLine="480"/>
              <w:jc w:val="left"/>
            </w:pPr>
            <w:r>
              <w:rPr>
                <w:rFonts w:ascii="仿宋_GB2312" w:hAnsi="仿宋_GB2312" w:cs="仿宋_GB2312" w:eastAsia="仿宋_GB2312"/>
                <w:sz w:val="24"/>
              </w:rPr>
              <w:t>5.6</w:t>
            </w:r>
            <w:r>
              <w:rPr>
                <w:rFonts w:ascii="仿宋_GB2312" w:hAnsi="仿宋_GB2312" w:cs="仿宋_GB2312" w:eastAsia="仿宋_GB2312"/>
                <w:sz w:val="24"/>
              </w:rPr>
              <w:t>本着科学、严谨的工作态度，严格按医疗规范标准执行，确保向参检人员提</w:t>
            </w:r>
            <w:r>
              <w:rPr>
                <w:rFonts w:ascii="仿宋_GB2312" w:hAnsi="仿宋_GB2312" w:cs="仿宋_GB2312" w:eastAsia="仿宋_GB2312"/>
                <w:sz w:val="24"/>
              </w:rPr>
              <w:t>供切实可信的体检，涉及到个人隐私应告知本人，不得向第三方传播。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、人员要求</w:t>
            </w:r>
          </w:p>
          <w:p>
            <w:pPr>
              <w:pStyle w:val="null3"/>
              <w:ind w:firstLine="480"/>
              <w:jc w:val="left"/>
            </w:pP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1.体检岗位设置合理，管理职责明确。</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2.有足够的与学生健康体检项目相适应的管理、技术、质量控制和统计人员；按体检项目确定从事健康体检的人员，每个体检项目不得少于1人。</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3.具有与学生健康检查工作和学生常见病防治有关的知识和经验。</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4.专业技术负责人应熟悉本专业业务，技术人员的专业与学生健康检查的项目相符合。</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5.检查人员必须具有相应的专业技术职务任职资格；各专业体检医师至少有1人具有中级以上专业技术职务任职资格。</w:t>
            </w:r>
            <w:r>
              <w:br/>
            </w:r>
            <w:r>
              <w:rPr>
                <w:rFonts w:ascii="仿宋_GB2312" w:hAnsi="仿宋_GB2312" w:cs="仿宋_GB2312" w:eastAsia="仿宋_GB2312"/>
                <w:sz w:val="24"/>
                <w:color w:val="333333"/>
                <w:shd w:fill="FFFFFF" w:val="clear"/>
              </w:rPr>
              <w:t>6.</w:t>
            </w:r>
            <w:r>
              <w:rPr>
                <w:rFonts w:ascii="仿宋_GB2312" w:hAnsi="仿宋_GB2312" w:cs="仿宋_GB2312" w:eastAsia="仿宋_GB2312"/>
                <w:sz w:val="24"/>
                <w:color w:val="333333"/>
                <w:shd w:fill="FFFFFF" w:val="clear"/>
              </w:rPr>
              <w:t>6.具有中级以上专业技术职务任职资格的人员不得少于从事学生健康检查总人数的30%。</w:t>
            </w:r>
          </w:p>
          <w:p>
            <w:pPr>
              <w:pStyle w:val="null3"/>
              <w:ind w:firstLine="480"/>
              <w:jc w:val="left"/>
            </w:pPr>
            <w:r>
              <w:rPr>
                <w:rFonts w:ascii="仿宋_GB2312" w:hAnsi="仿宋_GB2312" w:cs="仿宋_GB2312" w:eastAsia="仿宋_GB2312"/>
                <w:sz w:val="24"/>
                <w:color w:val="333333"/>
                <w:shd w:fill="FFFFFF" w:val="clear"/>
              </w:rPr>
              <w:t>7、档案管理</w:t>
            </w:r>
          </w:p>
          <w:p>
            <w:pPr>
              <w:pStyle w:val="null3"/>
              <w:ind w:firstLine="480"/>
              <w:jc w:val="left"/>
            </w:pPr>
            <w:r>
              <w:rPr>
                <w:rFonts w:ascii="仿宋_GB2312" w:hAnsi="仿宋_GB2312" w:cs="仿宋_GB2312" w:eastAsia="仿宋_GB2312"/>
                <w:sz w:val="24"/>
              </w:rPr>
              <w:t>7.1</w:t>
            </w:r>
            <w:r>
              <w:rPr>
                <w:rFonts w:ascii="仿宋_GB2312" w:hAnsi="仿宋_GB2312" w:cs="仿宋_GB2312" w:eastAsia="仿宋_GB2312"/>
                <w:sz w:val="24"/>
              </w:rPr>
              <w:t>健康体检机构在学生及其监护人知情同意的前提下，以个体报告单形式向学校反馈学生个体健康体检结果，并由学校向学生及其监护人反馈。</w:t>
            </w:r>
          </w:p>
          <w:p>
            <w:pPr>
              <w:pStyle w:val="null3"/>
              <w:ind w:firstLine="480"/>
              <w:jc w:val="left"/>
            </w:pPr>
            <w:r>
              <w:rPr>
                <w:rFonts w:ascii="仿宋_GB2312" w:hAnsi="仿宋_GB2312" w:cs="仿宋_GB2312" w:eastAsia="仿宋_GB2312"/>
                <w:sz w:val="24"/>
              </w:rPr>
              <w:t>7.2</w:t>
            </w:r>
            <w:r>
              <w:rPr>
                <w:rFonts w:ascii="仿宋_GB2312" w:hAnsi="仿宋_GB2312" w:cs="仿宋_GB2312" w:eastAsia="仿宋_GB2312"/>
                <w:sz w:val="24"/>
              </w:rPr>
              <w:t>健康体检机构分别以学校汇总报告单、区域学校汇总报告单形式向学校和区域教育行政部门反馈学生健康体检结果。</w:t>
            </w:r>
          </w:p>
          <w:p>
            <w:pPr>
              <w:pStyle w:val="null3"/>
              <w:ind w:firstLine="480"/>
              <w:jc w:val="left"/>
            </w:pPr>
            <w:r>
              <w:rPr>
                <w:rFonts w:ascii="仿宋_GB2312" w:hAnsi="仿宋_GB2312" w:cs="仿宋_GB2312" w:eastAsia="仿宋_GB2312"/>
                <w:sz w:val="24"/>
              </w:rPr>
              <w:t>7.3</w:t>
            </w:r>
            <w:r>
              <w:rPr>
                <w:rFonts w:ascii="仿宋_GB2312" w:hAnsi="仿宋_GB2312" w:cs="仿宋_GB2312" w:eastAsia="仿宋_GB2312"/>
                <w:sz w:val="24"/>
              </w:rPr>
              <w:t>健康体检报告单内容</w:t>
            </w:r>
            <w:r>
              <w:rPr>
                <w:rFonts w:ascii="仿宋_GB2312" w:hAnsi="仿宋_GB2312" w:cs="仿宋_GB2312" w:eastAsia="仿宋_GB2312"/>
                <w:sz w:val="24"/>
              </w:rPr>
              <w:t>，</w:t>
            </w:r>
            <w:r>
              <w:rPr>
                <w:rFonts w:ascii="仿宋_GB2312" w:hAnsi="仿宋_GB2312" w:cs="仿宋_GB2312" w:eastAsia="仿宋_GB2312"/>
                <w:sz w:val="24"/>
              </w:rPr>
              <w:t>个体报告单内容应当包括学生个体体检项目的客观结果、对体检结果的综合评价以及健康指导建议。</w:t>
            </w:r>
          </w:p>
          <w:p>
            <w:pPr>
              <w:pStyle w:val="null3"/>
              <w:ind w:firstLine="480"/>
              <w:jc w:val="left"/>
            </w:pPr>
            <w:r>
              <w:rPr>
                <w:rFonts w:ascii="仿宋_GB2312" w:hAnsi="仿宋_GB2312" w:cs="仿宋_GB2312" w:eastAsia="仿宋_GB2312"/>
                <w:sz w:val="24"/>
              </w:rPr>
              <w:t>7.4</w:t>
            </w:r>
            <w:r>
              <w:rPr>
                <w:rFonts w:ascii="仿宋_GB2312" w:hAnsi="仿宋_GB2312" w:cs="仿宋_GB2312" w:eastAsia="仿宋_GB2312"/>
                <w:sz w:val="24"/>
              </w:rPr>
              <w:t>健康体检报告单的反馈时限。</w:t>
            </w:r>
          </w:p>
          <w:p>
            <w:pPr>
              <w:pStyle w:val="null3"/>
              <w:ind w:firstLine="480"/>
              <w:jc w:val="left"/>
            </w:pPr>
            <w:r>
              <w:rPr>
                <w:rFonts w:ascii="仿宋_GB2312" w:hAnsi="仿宋_GB2312" w:cs="仿宋_GB2312" w:eastAsia="仿宋_GB2312"/>
                <w:sz w:val="24"/>
              </w:rPr>
              <w:t>个体报告单应当于体检结束后</w:t>
            </w:r>
            <w:r>
              <w:rPr>
                <w:rFonts w:ascii="仿宋_GB2312" w:hAnsi="仿宋_GB2312" w:cs="仿宋_GB2312" w:eastAsia="仿宋_GB2312"/>
                <w:sz w:val="24"/>
              </w:rPr>
              <w:t>2</w:t>
            </w:r>
            <w:r>
              <w:rPr>
                <w:rFonts w:ascii="仿宋_GB2312" w:hAnsi="仿宋_GB2312" w:cs="仿宋_GB2312" w:eastAsia="仿宋_GB2312"/>
                <w:sz w:val="24"/>
              </w:rPr>
              <w:t>周内反馈；学校汇总报告单应当于体检结束后</w:t>
            </w:r>
            <w:r>
              <w:rPr>
                <w:rFonts w:ascii="仿宋_GB2312" w:hAnsi="仿宋_GB2312" w:cs="仿宋_GB2312" w:eastAsia="仿宋_GB2312"/>
                <w:sz w:val="24"/>
              </w:rPr>
              <w:t>1</w:t>
            </w:r>
            <w:r>
              <w:rPr>
                <w:rFonts w:ascii="仿宋_GB2312" w:hAnsi="仿宋_GB2312" w:cs="仿宋_GB2312" w:eastAsia="仿宋_GB2312"/>
                <w:sz w:val="24"/>
              </w:rPr>
              <w:t>个月内反馈；区域学校汇总报告单应当于体检结束后</w:t>
            </w:r>
            <w:r>
              <w:rPr>
                <w:rFonts w:ascii="仿宋_GB2312" w:hAnsi="仿宋_GB2312" w:cs="仿宋_GB2312" w:eastAsia="仿宋_GB2312"/>
                <w:sz w:val="24"/>
              </w:rPr>
              <w:t>2</w:t>
            </w:r>
            <w:r>
              <w:rPr>
                <w:rFonts w:ascii="仿宋_GB2312" w:hAnsi="仿宋_GB2312" w:cs="仿宋_GB2312" w:eastAsia="仿宋_GB2312"/>
                <w:sz w:val="24"/>
              </w:rPr>
              <w:t>个月内反馈。</w:t>
            </w:r>
          </w:p>
          <w:p>
            <w:pPr>
              <w:pStyle w:val="null3"/>
              <w:ind w:firstLine="240"/>
              <w:jc w:val="left"/>
            </w:pPr>
            <w:r>
              <w:rPr>
                <w:rFonts w:ascii="仿宋_GB2312" w:hAnsi="仿宋_GB2312" w:cs="仿宋_GB2312" w:eastAsia="仿宋_GB2312"/>
                <w:sz w:val="24"/>
              </w:rPr>
              <w:t>7.5</w:t>
            </w:r>
            <w:r>
              <w:rPr>
                <w:rFonts w:ascii="仿宋_GB2312" w:hAnsi="仿宋_GB2312" w:cs="仿宋_GB2312" w:eastAsia="仿宋_GB2312"/>
                <w:sz w:val="24"/>
              </w:rPr>
              <w:t>学生健康档案管理。</w:t>
            </w:r>
          </w:p>
          <w:p>
            <w:pPr>
              <w:pStyle w:val="null3"/>
              <w:ind w:firstLine="480"/>
              <w:jc w:val="left"/>
            </w:pPr>
            <w:r>
              <w:rPr>
                <w:rFonts w:ascii="仿宋_GB2312" w:hAnsi="仿宋_GB2312" w:cs="仿宋_GB2312" w:eastAsia="仿宋_GB2312"/>
                <w:sz w:val="24"/>
              </w:rPr>
              <w:t>学校和教育行政部门应当将学生健康体检结果纳入学校档案管理内容，建立落实学生健康体检资料台账管理制度，有条件的地区可以建立电子化健康档案；根据学生健康体检结果和健康体检机构给出的健康指导建议，研究制定促进学生健康的措施，有针对性地开展促进学生健康的相关工作。</w:t>
            </w:r>
          </w:p>
          <w:p>
            <w:pPr>
              <w:pStyle w:val="null3"/>
              <w:ind w:firstLine="482"/>
              <w:jc w:val="both"/>
            </w:pPr>
            <w:r>
              <w:rPr>
                <w:rFonts w:ascii="仿宋_GB2312" w:hAnsi="仿宋_GB2312" w:cs="仿宋_GB2312" w:eastAsia="仿宋_GB2312"/>
                <w:sz w:val="24"/>
                <w:b/>
              </w:rPr>
              <w:t>二、商务要求</w:t>
            </w:r>
          </w:p>
          <w:p>
            <w:pPr>
              <w:pStyle w:val="null3"/>
              <w:ind w:firstLine="480"/>
              <w:jc w:val="left"/>
            </w:pPr>
            <w:r>
              <w:rPr>
                <w:rFonts w:ascii="仿宋_GB2312" w:hAnsi="仿宋_GB2312" w:cs="仿宋_GB2312" w:eastAsia="仿宋_GB2312"/>
                <w:sz w:val="24"/>
              </w:rPr>
              <w:t>付款方式</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本项目为单价采购项目，在合同执行阶段以采购人规定的结算单价为执行价，根据实际体检人数据实结算</w:t>
            </w:r>
            <w:r>
              <w:rPr>
                <w:rFonts w:ascii="仿宋_GB2312" w:hAnsi="仿宋_GB2312" w:cs="仿宋_GB2312" w:eastAsia="仿宋_GB2312"/>
                <w:sz w:val="24"/>
              </w:rPr>
              <w:t>，由服务学校和供应商直接签订合同，并在周至县教育局保健所进行备案</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各校体检项目完成后，由各校</w:t>
            </w:r>
            <w:r>
              <w:rPr>
                <w:rFonts w:ascii="仿宋_GB2312" w:hAnsi="仿宋_GB2312" w:cs="仿宋_GB2312" w:eastAsia="仿宋_GB2312"/>
                <w:sz w:val="24"/>
              </w:rPr>
              <w:t>和周至县教育局保健所</w:t>
            </w:r>
            <w:r>
              <w:rPr>
                <w:rFonts w:ascii="仿宋_GB2312" w:hAnsi="仿宋_GB2312" w:cs="仿宋_GB2312" w:eastAsia="仿宋_GB2312"/>
                <w:sz w:val="24"/>
              </w:rPr>
              <w:t>按照工作程序进行验收、检查履约完成情况，并统计最终实际体检人数及对应的体检套餐，确认无误后，供应商提交付款申请单，学校应在</w:t>
            </w:r>
            <w:r>
              <w:rPr>
                <w:rFonts w:ascii="仿宋_GB2312" w:hAnsi="仿宋_GB2312" w:cs="仿宋_GB2312" w:eastAsia="仿宋_GB2312"/>
                <w:sz w:val="24"/>
              </w:rPr>
              <w:t>10</w:t>
            </w:r>
            <w:r>
              <w:rPr>
                <w:rFonts w:ascii="仿宋_GB2312" w:hAnsi="仿宋_GB2312" w:cs="仿宋_GB2312" w:eastAsia="仿宋_GB2312"/>
                <w:sz w:val="24"/>
              </w:rPr>
              <w:t>日内一次性结清体检费用。</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体检工作完成并通过验收后，由供应商按照最终据实结算总金额给各校开具全额发票，最终支付金额以实际结算为准。若因乙方提供发票不合格或延期提供，甲方有权迟延履行付款义务且不承担违约责任。</w:t>
            </w:r>
          </w:p>
          <w:p>
            <w:pPr>
              <w:pStyle w:val="null3"/>
              <w:ind w:firstLine="482"/>
              <w:jc w:val="both"/>
            </w:pPr>
            <w:r>
              <w:rPr>
                <w:rFonts w:ascii="仿宋_GB2312" w:hAnsi="仿宋_GB2312" w:cs="仿宋_GB2312" w:eastAsia="仿宋_GB2312"/>
                <w:sz w:val="24"/>
                <w:b/>
              </w:rPr>
              <w:t>（三）合同实施</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供应商应在合同签订后接采购人通知之日起</w:t>
            </w:r>
            <w:r>
              <w:rPr>
                <w:rFonts w:ascii="仿宋_GB2312" w:hAnsi="仿宋_GB2312" w:cs="仿宋_GB2312" w:eastAsia="仿宋_GB2312"/>
                <w:sz w:val="24"/>
              </w:rPr>
              <w:t>7</w:t>
            </w:r>
            <w:r>
              <w:rPr>
                <w:rFonts w:ascii="仿宋_GB2312" w:hAnsi="仿宋_GB2312" w:cs="仿宋_GB2312" w:eastAsia="仿宋_GB2312"/>
                <w:sz w:val="24"/>
              </w:rPr>
              <w:t>个日历日内安排人员与采购人对体检实施服务进行安排、部署、计划。</w:t>
            </w:r>
          </w:p>
          <w:p>
            <w:pPr>
              <w:pStyle w:val="null3"/>
              <w:ind w:firstLine="480"/>
              <w:jc w:val="left"/>
            </w:pPr>
            <w:r>
              <w:rPr>
                <w:rFonts w:ascii="仿宋_GB2312" w:hAnsi="仿宋_GB2312" w:cs="仿宋_GB2312" w:eastAsia="仿宋_GB2312"/>
                <w:sz w:val="24"/>
              </w:rPr>
              <w:t>2.</w:t>
            </w:r>
            <w:r>
              <w:rPr>
                <w:rFonts w:ascii="仿宋_GB2312" w:hAnsi="仿宋_GB2312" w:cs="仿宋_GB2312" w:eastAsia="仿宋_GB2312"/>
                <w:sz w:val="24"/>
              </w:rPr>
              <w:t>若未能在按照项目实际工作时间完成规定的义务，由此对采购单位造成的延误和一切损失，由供应商承担和赔偿。</w:t>
            </w:r>
          </w:p>
          <w:p>
            <w:pPr>
              <w:pStyle w:val="null3"/>
              <w:ind w:firstLine="482"/>
              <w:jc w:val="both"/>
            </w:pPr>
            <w:r>
              <w:rPr>
                <w:rFonts w:ascii="仿宋_GB2312" w:hAnsi="仿宋_GB2312" w:cs="仿宋_GB2312" w:eastAsia="仿宋_GB2312"/>
                <w:sz w:val="24"/>
                <w:b/>
              </w:rPr>
              <w:t>（四）成果交付要求</w:t>
            </w:r>
          </w:p>
          <w:p>
            <w:pPr>
              <w:pStyle w:val="null3"/>
              <w:ind w:firstLine="480"/>
              <w:jc w:val="left"/>
            </w:pPr>
            <w:r>
              <w:rPr>
                <w:rFonts w:ascii="仿宋_GB2312" w:hAnsi="仿宋_GB2312" w:cs="仿宋_GB2312" w:eastAsia="仿宋_GB2312"/>
                <w:sz w:val="24"/>
              </w:rPr>
              <w:t>供应</w:t>
            </w:r>
            <w:r>
              <w:rPr>
                <w:rFonts w:ascii="仿宋_GB2312" w:hAnsi="仿宋_GB2312" w:cs="仿宋_GB2312" w:eastAsia="仿宋_GB2312"/>
                <w:sz w:val="24"/>
              </w:rPr>
              <w:t>商须于个人体检完成后</w:t>
            </w:r>
            <w:r>
              <w:rPr>
                <w:rFonts w:ascii="仿宋_GB2312" w:hAnsi="仿宋_GB2312" w:cs="仿宋_GB2312" w:eastAsia="仿宋_GB2312"/>
                <w:sz w:val="24"/>
              </w:rPr>
              <w:t>7</w:t>
            </w:r>
            <w:r>
              <w:rPr>
                <w:rFonts w:ascii="仿宋_GB2312" w:hAnsi="仿宋_GB2312" w:cs="仿宋_GB2312" w:eastAsia="仿宋_GB2312"/>
                <w:sz w:val="24"/>
              </w:rPr>
              <w:t>个工作日内出具个人体检报告，并通过包括但不限于短信、</w:t>
            </w:r>
            <w:r>
              <w:rPr>
                <w:rFonts w:ascii="仿宋_GB2312" w:hAnsi="仿宋_GB2312" w:cs="仿宋_GB2312" w:eastAsia="仿宋_GB2312"/>
                <w:sz w:val="24"/>
              </w:rPr>
              <w:t>APP</w:t>
            </w:r>
            <w:r>
              <w:rPr>
                <w:rFonts w:ascii="仿宋_GB2312" w:hAnsi="仿宋_GB2312" w:cs="仿宋_GB2312" w:eastAsia="仿宋_GB2312"/>
                <w:sz w:val="24"/>
              </w:rPr>
              <w:t>、邮件、纸质等方式</w:t>
            </w:r>
            <w:r>
              <w:rPr>
                <w:rFonts w:ascii="仿宋_GB2312" w:hAnsi="仿宋_GB2312" w:cs="仿宋_GB2312" w:eastAsia="仿宋_GB2312"/>
                <w:sz w:val="24"/>
              </w:rPr>
              <w:t>告知体检人。所有人员体检结束后</w:t>
            </w:r>
            <w:r>
              <w:rPr>
                <w:rFonts w:ascii="仿宋_GB2312" w:hAnsi="仿宋_GB2312" w:cs="仿宋_GB2312" w:eastAsia="仿宋_GB2312"/>
                <w:sz w:val="24"/>
              </w:rPr>
              <w:t>7</w:t>
            </w:r>
            <w:r>
              <w:rPr>
                <w:rFonts w:ascii="仿宋_GB2312" w:hAnsi="仿宋_GB2312" w:cs="仿宋_GB2312" w:eastAsia="仿宋_GB2312"/>
                <w:sz w:val="24"/>
              </w:rPr>
              <w:t>个工作日内出具检总报告，检总报告内容包括但不限于体检人员总检报告、总检报告分析等。</w:t>
            </w:r>
          </w:p>
          <w:p>
            <w:pPr>
              <w:pStyle w:val="null3"/>
              <w:ind w:firstLine="482"/>
              <w:jc w:val="both"/>
            </w:pPr>
            <w:r>
              <w:rPr>
                <w:rFonts w:ascii="仿宋_GB2312" w:hAnsi="仿宋_GB2312" w:cs="仿宋_GB2312" w:eastAsia="仿宋_GB2312"/>
                <w:sz w:val="24"/>
                <w:b/>
              </w:rPr>
              <w:t>（五）</w:t>
            </w:r>
            <w:r>
              <w:rPr>
                <w:rFonts w:ascii="仿宋_GB2312" w:hAnsi="仿宋_GB2312" w:cs="仿宋_GB2312" w:eastAsia="仿宋_GB2312"/>
                <w:sz w:val="24"/>
                <w:b/>
              </w:rPr>
              <w:t>验收</w:t>
            </w:r>
          </w:p>
          <w:p>
            <w:pPr>
              <w:pStyle w:val="null3"/>
              <w:ind w:firstLine="480"/>
              <w:jc w:val="left"/>
            </w:pPr>
            <w:r>
              <w:rPr>
                <w:rFonts w:ascii="仿宋_GB2312" w:hAnsi="仿宋_GB2312" w:cs="仿宋_GB2312" w:eastAsia="仿宋_GB2312"/>
                <w:sz w:val="24"/>
              </w:rPr>
              <w:t>由各体检学校和供应商共同对项目进行整体验收，周至县教育局</w:t>
            </w:r>
            <w:r>
              <w:rPr>
                <w:rFonts w:ascii="仿宋_GB2312" w:hAnsi="仿宋_GB2312" w:cs="仿宋_GB2312" w:eastAsia="仿宋_GB2312"/>
                <w:sz w:val="24"/>
              </w:rPr>
              <w:t>保健所现场监督验收工作</w:t>
            </w:r>
            <w:r>
              <w:rPr>
                <w:rFonts w:ascii="仿宋_GB2312" w:hAnsi="仿宋_GB2312" w:cs="仿宋_GB2312" w:eastAsia="仿宋_GB2312"/>
                <w:sz w:val="24"/>
              </w:rPr>
              <w:t>。其内容包括供应商是否按照体检清单全部完成、是否按照采购人要求人数、要求时间完成。</w:t>
            </w:r>
          </w:p>
          <w:p>
            <w:pPr>
              <w:pStyle w:val="null3"/>
              <w:ind w:firstLine="480"/>
              <w:jc w:val="left"/>
            </w:pPr>
            <w:r>
              <w:rPr>
                <w:rFonts w:ascii="仿宋_GB2312" w:hAnsi="仿宋_GB2312" w:cs="仿宋_GB2312" w:eastAsia="仿宋_GB2312"/>
                <w:sz w:val="24"/>
              </w:rPr>
              <w:t>5-1.所验各项内容最终验收达不到招标文件要求和投标文件承诺的，或在后续使用中发现采购人不能容忍的缺陷等，将视为验收不合格，供应商应在采购人要求的时间内无条件整改及恢复。</w:t>
            </w:r>
          </w:p>
          <w:p>
            <w:pPr>
              <w:pStyle w:val="null3"/>
              <w:ind w:firstLine="480"/>
              <w:jc w:val="left"/>
            </w:pPr>
            <w:r>
              <w:rPr>
                <w:rFonts w:ascii="仿宋_GB2312" w:hAnsi="仿宋_GB2312" w:cs="仿宋_GB2312" w:eastAsia="仿宋_GB2312"/>
                <w:sz w:val="24"/>
              </w:rPr>
              <w:t>5-2.若发现供应商有弄虚作假的，在招标阶段故意或随意夸大技术能力、服务质量的，采购人有权解除合同，并且要求供应商赔偿相关损失。</w:t>
            </w:r>
          </w:p>
          <w:p>
            <w:pPr>
              <w:pStyle w:val="null3"/>
              <w:ind w:firstLine="480"/>
              <w:jc w:val="left"/>
            </w:pPr>
            <w:r>
              <w:rPr>
                <w:rFonts w:ascii="仿宋_GB2312" w:hAnsi="仿宋_GB2312" w:cs="仿宋_GB2312" w:eastAsia="仿宋_GB2312"/>
                <w:sz w:val="24"/>
              </w:rPr>
              <w:t>5-3.验收标准：按招标文件、投标文件及澄清函等技术指标进行验收。各项指标均应符合验收标准及要求。</w:t>
            </w:r>
          </w:p>
          <w:p>
            <w:pPr>
              <w:pStyle w:val="null3"/>
              <w:ind w:firstLine="480"/>
              <w:jc w:val="left"/>
            </w:pPr>
            <w:r>
              <w:rPr>
                <w:rFonts w:ascii="仿宋_GB2312" w:hAnsi="仿宋_GB2312" w:cs="仿宋_GB2312" w:eastAsia="仿宋_GB2312"/>
                <w:sz w:val="24"/>
              </w:rPr>
              <w:t>5-4.验收合格后，填写验收单，双方签字生效。</w:t>
            </w:r>
          </w:p>
          <w:p>
            <w:pPr>
              <w:pStyle w:val="null3"/>
              <w:ind w:firstLine="480"/>
              <w:jc w:val="left"/>
            </w:pPr>
            <w:r>
              <w:rPr>
                <w:rFonts w:ascii="仿宋_GB2312" w:hAnsi="仿宋_GB2312" w:cs="仿宋_GB2312" w:eastAsia="仿宋_GB2312"/>
                <w:sz w:val="24"/>
              </w:rPr>
              <w:t>5-5.验收依据：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1）合同文本及合同补充文件（条款）；</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2）国家和行业制定的相应的标准和规范；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3）招标文件；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4）中标人的投标文件；</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5）供应商的企业、人员资质。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2025年7月—2026年6月30日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各校体检项目完成后，由各校和周至县教育局保健所按照工作程序进行验收、检查履约完成情况，并统计最终实际体检人数及对应的体检套餐，确认无误后，供应商提交付款申请单，学校应在10日内一次性结清体检费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本项目为单价招标，各供应商单位所报价格均应为服务单价。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其他资料doc.docx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投标人的营业执照等证明文件，自然人的身份证明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提供2024年度经审计的财务会计报告或其提交响应文件截止时间前3个月内银行出具的资信证明；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提供投标人2025年1月至今任意时段已缴纳完税凭证或税务机关开具的完税证明（除个人所得税的任意税种；依法免税的应提供相关文件证明；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提供投标人2025年1月至今任意时段已缴纳的社会保障资金缴存单据或社保机构开具的社会保险参保缴费情况证明；依法不需要缴纳社会保障资金的应提供相关文件证明；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提供投标人具备履行合同所必需的设备和专业技术能力的声明；</w:t>
            </w:r>
          </w:p>
        </w:tc>
        <w:tc>
          <w:tcPr>
            <w:tcW w:type="dxa" w:w="3322"/>
          </w:tcPr>
          <w:p>
            <w:pPr>
              <w:pStyle w:val="null3"/>
            </w:pPr>
            <w:r>
              <w:rPr>
                <w:rFonts w:ascii="仿宋_GB2312" w:hAnsi="仿宋_GB2312" w:cs="仿宋_GB2312" w:eastAsia="仿宋_GB2312"/>
              </w:rPr>
              <w:t>提供投标人具备履行合同所必需的设备和专业技术能力的声明；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在经营活动中没有重大违法记录的书面声明；</w:t>
            </w:r>
          </w:p>
        </w:tc>
        <w:tc>
          <w:tcPr>
            <w:tcW w:type="dxa" w:w="3322"/>
          </w:tcPr>
          <w:p>
            <w:pPr>
              <w:pStyle w:val="null3"/>
            </w:pPr>
            <w:r>
              <w:rPr>
                <w:rFonts w:ascii="仿宋_GB2312" w:hAnsi="仿宋_GB2312" w:cs="仿宋_GB2312" w:eastAsia="仿宋_GB2312"/>
              </w:rPr>
              <w:t>投标人参加本次采购活动3年内，在经营活动中没有重大违法记录的书面声明；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单位负责人为同一人或者存在直接控股、管理关系的不同投标人，不得参加同一合同项下的采购活动；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持有有效的《医疗机构执业许可证》（副本栏目上注明健康体检资质）；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（1）磋商响应文件的签署、加盖印章是否合格、有效； （2）提供的各种证明文件、数据、资料是否真实、有效； （3）磋商报价是否具有唯一性；</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磋商响应文件的实质响应性审查</w:t>
            </w:r>
          </w:p>
        </w:tc>
        <w:tc>
          <w:tcPr>
            <w:tcW w:type="dxa" w:w="3322"/>
          </w:tcPr>
          <w:p>
            <w:pPr>
              <w:pStyle w:val="null3"/>
            </w:pPr>
            <w:r>
              <w:rPr>
                <w:rFonts w:ascii="仿宋_GB2312" w:hAnsi="仿宋_GB2312" w:cs="仿宋_GB2312" w:eastAsia="仿宋_GB2312"/>
              </w:rPr>
              <w:t>磋商响应文件的实质响应性审查 （1）磋商报价是否未超过采购预算； （2）磋商报价是否与市场价偏离较大，低于成本，涉嫌不正当竞争；（如果磋商小组认为某磋商报价明显不合理或者低于成本，应当要求其在规定期限内提供书面文件予以解释说明，并提交相关证明材料。）</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健康体检服务方案</w:t>
            </w:r>
          </w:p>
        </w:tc>
        <w:tc>
          <w:tcPr>
            <w:tcW w:type="dxa" w:w="2492"/>
          </w:tcPr>
          <w:p>
            <w:pPr>
              <w:pStyle w:val="null3"/>
            </w:pPr>
            <w:r>
              <w:rPr>
                <w:rFonts w:ascii="仿宋_GB2312" w:hAnsi="仿宋_GB2312" w:cs="仿宋_GB2312" w:eastAsia="仿宋_GB2312"/>
              </w:rPr>
              <w:t xml:space="preserve"> ①方案具有科学性、安全性、可行性、针对性，方案明确、细节内容详细，考虑周到，得15 分； ②方案基本明确、细节内容较为详细，基本符合实际需求的，得12分； ③方案不明确、细节内容简单笼统，可操作性欠佳，得9分； ④方案不符合项目需求，针对性较差，得7分。无相关内容的不得分。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体检服务规范及标准</w:t>
            </w:r>
          </w:p>
        </w:tc>
        <w:tc>
          <w:tcPr>
            <w:tcW w:type="dxa" w:w="2492"/>
          </w:tcPr>
          <w:p>
            <w:pPr>
              <w:pStyle w:val="null3"/>
            </w:pPr>
            <w:r>
              <w:rPr>
                <w:rFonts w:ascii="仿宋_GB2312" w:hAnsi="仿宋_GB2312" w:cs="仿宋_GB2312" w:eastAsia="仿宋_GB2312"/>
              </w:rPr>
              <w:t>根据供应商提供的体检服务规范及标准进行综合评审，包括但不限于①体检计划②时间安排③体检项目顺序④人性化服务等⑤合理化建议。流程计划完整且符合实际需求，得15分，每缺少一项扣3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医疗设备</w:t>
            </w:r>
          </w:p>
        </w:tc>
        <w:tc>
          <w:tcPr>
            <w:tcW w:type="dxa" w:w="2492"/>
          </w:tcPr>
          <w:p>
            <w:pPr>
              <w:pStyle w:val="null3"/>
            </w:pPr>
            <w:r>
              <w:rPr>
                <w:rFonts w:ascii="仿宋_GB2312" w:hAnsi="仿宋_GB2312" w:cs="仿宋_GB2312" w:eastAsia="仿宋_GB2312"/>
              </w:rPr>
              <w:t>根据供应商拟投入医疗设备的先进性、全面性、数量进行综合评审；包括但不限于提供仪器设备及工具清单、图片及发票等证明材料。 ①提供的仪器设备材料内容完备齐全，完全满足本项目要求，得10 分； ②提供的仪器设备材料内容较完备，基本能满足本项目要求，得8分； ③提供的仪器设备材料内容有所欠缺，不能满足本项目要求，得5分； ④提供的仪器设备材料内容较差，与本项目要求相差较大，得2分。无相关内容的不得分。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医师医护人员配备</w:t>
            </w:r>
          </w:p>
        </w:tc>
        <w:tc>
          <w:tcPr>
            <w:tcW w:type="dxa" w:w="2492"/>
          </w:tcPr>
          <w:p>
            <w:pPr>
              <w:pStyle w:val="null3"/>
            </w:pPr>
            <w:r>
              <w:rPr>
                <w:rFonts w:ascii="仿宋_GB2312" w:hAnsi="仿宋_GB2312" w:cs="仿宋_GB2312" w:eastAsia="仿宋_GB2312"/>
              </w:rPr>
              <w:t>根据拟投入本项目体检的各专业医师医护人员配备情况，包括但不限于人员数量、职称、工作年限、工作经验，人员相关证书等，进行综合评审。 ①人员配备合理全面，工作经验丰富，能够高效优质的完成服务要求得10 分； ②人员配备充足合理，能够满足体检项目需要，得8分； ③人员配备较全面，工作经验一般，能够完成项目内容，得5分； ④人员配备较少，与本项目要求相差较大，得2分。无相关内容的不得分。 注：须提供相关证书复印件等证明材料。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提供对体检信息的保密措施。 ①措施详细全面、细节考虑科学合理、可行，得10分； ②措施内容较详细、较合理、基本可行，得7分； ③措施内容有所欠缺，与本项目要求相差较大，得3分。无相关内容的不得分。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供应急保障措施，对于各类突发事件具有应急响应方案，包括但不限于①服务过程中发生安全事件应急方案②突发公共卫生安全事件应急方案③紧急人员安排方案④对体检发现的危急重症患者提供急救及转诊绿色通道等。 保障措施完整且符合实际需求，得10分，每缺少一项扣2.5分，某一项不完整或不符合实际需求的扣1-2分。无相关内容的不得分。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服务承诺及服务保证措施</w:t>
            </w:r>
          </w:p>
        </w:tc>
        <w:tc>
          <w:tcPr>
            <w:tcW w:type="dxa" w:w="2492"/>
          </w:tcPr>
          <w:p>
            <w:pPr>
              <w:pStyle w:val="null3"/>
            </w:pPr>
            <w:r>
              <w:rPr>
                <w:rFonts w:ascii="仿宋_GB2312" w:hAnsi="仿宋_GB2312" w:cs="仿宋_GB2312" w:eastAsia="仿宋_GB2312"/>
              </w:rPr>
              <w:t>针对本项目有切实可行的服务承诺及服务保证措施。 ①方案具有可行性、针对性，方案明确、细节内容详细，考虑周到，得10 分； ②方案基本明确、细节内容较为详细，基本符合实际需求的，得8分； ③方案不明确、细节内容简单笼统，可操作性欠佳，得5分； ④方案不符合项目需求，针对性较差，得2分。无相关内容的不得分。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供应商需提供近三年来（2022年3月1日起至今，以合同签订时间为准）类似业绩证明材料。业绩证明材料以合同为准，每提供一份有效合同的得2分，最高得10分。备注：响应文件中提供合同复印件加盖公章。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①经初审合格的响应文件，通过符合性审查的磋商报价为有效投标价。 ②有效最低报价为基准价得10分。 ③按（有效最低报价/有效磋商报价）×10的公式计算报价得分。 磋商报价不完整的，不进入评标基准价的计算，本项得0分。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