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版本号：2025-ZYD-ZB-02520250709001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印章刻制服务项目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2025-ZYD-ZB-025</w:t>
      </w:r>
      <w:r>
        <w:br/>
      </w:r>
      <w:r>
        <w:br/>
      </w:r>
      <w:r>
        <w:br/>
      </w:r>
    </w:p>
    <w:p>
      <w:pPr>
        <w:pStyle w:val="null3"/>
        <w:jc w:val="center"/>
        <w:outlineLvl w:val="2"/>
      </w:pPr>
      <w:r>
        <w:rPr>
          <w:rFonts w:ascii="仿宋_GB2312" w:hAnsi="仿宋_GB2312" w:cs="仿宋_GB2312" w:eastAsia="仿宋_GB2312"/>
          <w:sz w:val="28"/>
          <w:b/>
        </w:rPr>
        <w:t>西安市周至县数据和行政审批服务局（本级）</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西安市周至县数据和行政审批服务局（本级）</w:t>
      </w:r>
      <w:r>
        <w:rPr>
          <w:rFonts w:ascii="仿宋_GB2312" w:hAnsi="仿宋_GB2312" w:cs="仿宋_GB2312" w:eastAsia="仿宋_GB2312"/>
        </w:rPr>
        <w:t>委托，拟对</w:t>
      </w:r>
      <w:r>
        <w:rPr>
          <w:rFonts w:ascii="仿宋_GB2312" w:hAnsi="仿宋_GB2312" w:cs="仿宋_GB2312" w:eastAsia="仿宋_GB2312"/>
        </w:rPr>
        <w:t>印章刻制服务项目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2025-ZYD-ZB-025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印章刻制服务项目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1、为每户新注册企业免费刻制包含“单位公章”、“合同专用章”“财务专用章”、“发票专用章”、“法人章”等一套共五枚印章。 2、印章材质均为防伪铜章，印章深度不得低于60丝，印记清晰无墨点。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采购包1（印章刻制服务项目）：属于专门面向中小企业采购。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2、法定代表人及被授权人：法定代表人委托授权书及被授权人身份证原件（法定代表人参加投标的只需提供法定代表人身份证）；</w:t>
      </w:r>
    </w:p>
    <w:p>
      <w:pPr>
        <w:pStyle w:val="null3"/>
      </w:pPr>
      <w:r>
        <w:rPr>
          <w:rFonts w:ascii="仿宋_GB2312" w:hAnsi="仿宋_GB2312" w:cs="仿宋_GB2312" w:eastAsia="仿宋_GB2312"/>
        </w:rPr>
        <w:t>3、财务状况报告：提供 2023 年度或 2024 年度投标人的财务报告或开标前六个月内其基本账户银行出具的资信证明；</w:t>
      </w:r>
    </w:p>
    <w:p>
      <w:pPr>
        <w:pStyle w:val="null3"/>
      </w:pPr>
      <w:r>
        <w:rPr>
          <w:rFonts w:ascii="仿宋_GB2312" w:hAnsi="仿宋_GB2312" w:cs="仿宋_GB2312" w:eastAsia="仿宋_GB2312"/>
        </w:rPr>
        <w:t>4、税收缴纳证明：供应商需提供投标截至日期前6个月内任意一个月的完税凭证或税务机关开具的完税证明（任意税种）；依法免税的应提供相关文件证明；</w:t>
      </w:r>
    </w:p>
    <w:p>
      <w:pPr>
        <w:pStyle w:val="null3"/>
      </w:pPr>
      <w:r>
        <w:rPr>
          <w:rFonts w:ascii="仿宋_GB2312" w:hAnsi="仿宋_GB2312" w:cs="仿宋_GB2312" w:eastAsia="仿宋_GB2312"/>
        </w:rPr>
        <w:t>5、社会保障资金缴纳证明：供应商需提供投标截止日期前6个月内任意一个月的社会保障资金缴存单据或社保机构开具的社会保险参保缴费情况证明；依法不需要缴纳社会保障资金的应提供相关文件证明；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6、资质证书：供应商须提供公安部门颁发的关于印章刻制方面的《特种行业许可证》；</w:t>
      </w:r>
    </w:p>
    <w:p>
      <w:pPr>
        <w:pStyle w:val="null3"/>
      </w:pPr>
      <w:r>
        <w:rPr>
          <w:rFonts w:ascii="仿宋_GB2312" w:hAnsi="仿宋_GB2312" w:cs="仿宋_GB2312" w:eastAsia="仿宋_GB2312"/>
        </w:rPr>
        <w:t>7、无重大违法记录的书面声明：出具参加政府采购活动前三年内在经营活动中没有重大违法记录的书面声明；</w:t>
      </w:r>
    </w:p>
    <w:p>
      <w:pPr>
        <w:pStyle w:val="null3"/>
      </w:pPr>
      <w:r>
        <w:rPr>
          <w:rFonts w:ascii="仿宋_GB2312" w:hAnsi="仿宋_GB2312" w:cs="仿宋_GB2312" w:eastAsia="仿宋_GB2312"/>
        </w:rPr>
        <w:t>8、信用查询：供应商应在投标截止日前未被列入失信被执行人、重大税收违法失信主体名单、政府采购严重违法失信行为记录名单（处罚期限届满的除外）（以“信用中国”网站 （www.creditchina.gov.cn）、中国政府采购网（www.ccgp.gov.cn）查询结果为准，提供网站截图并加盖供应商公章）；</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西安市周至县数据和行政审批服务局（本级）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西安市周至县万联锦绣商业广场内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02-87114101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西安市周至县公园一号（陕西中扬德项目管理有限公司）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029-85160588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代理服务费收费标准：1.招标代理服务费用：按国家发展和改革委员会文件，发改价格[2011]534号的收费标准收取； 2.上述费用由 中标人 在发放中标通知书前向招标代理机构一次性付清。 3、代理服务费缴纳账户信息： 名 称：陕西中扬德项目管理有限公司 开户名称：中国银行股份有限公司西安大兴新区支行 帐 号：1020 8837 6412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西安市周至县数据和行政审批服务局（本级）</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西安市周至县数据和行政审批服务局（本级）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西安市周至县数据和行政审批服务局（本级）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符合国家及行业相关规定及标准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地址：西安市周至县公园一号（陕西中扬德项目管理有限公司）</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该项目具体实施内容包括为新开办企业刻制防伪铜章每套共五枚(包括公章、财务章、合同章、发票章、法人章)。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423,300.00</w:t>
      </w:r>
    </w:p>
    <w:p>
      <w:pPr>
        <w:pStyle w:val="null3"/>
      </w:pPr>
      <w:r>
        <w:rPr>
          <w:rFonts w:ascii="仿宋_GB2312" w:hAnsi="仿宋_GB2312" w:cs="仿宋_GB2312" w:eastAsia="仿宋_GB2312"/>
        </w:rPr>
        <w:t>采购包最高限价（元）: 423,300.00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印章刻制服务项目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423,300.00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标的名称：印章刻制服务项目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rPr>
              <w:t>一、采购内容</w:t>
            </w:r>
          </w:p>
          <w:p>
            <w:pPr>
              <w:pStyle w:val="null3"/>
              <w:ind w:firstLine="480"/>
              <w:jc w:val="both"/>
            </w:pPr>
            <w:r>
              <w:rPr>
                <w:rFonts w:ascii="仿宋_GB2312" w:hAnsi="仿宋_GB2312" w:cs="仿宋_GB2312" w:eastAsia="仿宋_GB2312"/>
                <w:sz w:val="21"/>
              </w:rPr>
              <w:t>1、为每户新注册企业免费刻制包含“单位公章”、“合同专用章”“财务专用章”、“发票专用章”、“法人章”等一套共五枚印章</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2、印章材质均为防伪铜章，印章深度不得低于60丝，印记清晰无墨点。</w:t>
            </w:r>
          </w:p>
          <w:p>
            <w:pPr>
              <w:pStyle w:val="null3"/>
              <w:ind w:firstLine="480"/>
              <w:jc w:val="both"/>
            </w:pPr>
            <w:r>
              <w:rPr>
                <w:rFonts w:ascii="仿宋_GB2312" w:hAnsi="仿宋_GB2312" w:cs="仿宋_GB2312" w:eastAsia="仿宋_GB2312"/>
                <w:sz w:val="21"/>
              </w:rPr>
              <w:t>3、标包划分：</w:t>
            </w:r>
          </w:p>
          <w:p>
            <w:pPr>
              <w:pStyle w:val="null3"/>
              <w:ind w:firstLine="480"/>
              <w:jc w:val="both"/>
            </w:pPr>
            <w:r>
              <w:rPr>
                <w:rFonts w:ascii="仿宋_GB2312" w:hAnsi="仿宋_GB2312" w:cs="仿宋_GB2312" w:eastAsia="仿宋_GB2312"/>
                <w:sz w:val="21"/>
              </w:rPr>
              <w:t>第</w:t>
            </w:r>
            <w:r>
              <w:rPr>
                <w:rFonts w:ascii="仿宋_GB2312" w:hAnsi="仿宋_GB2312" w:cs="仿宋_GB2312" w:eastAsia="仿宋_GB2312"/>
                <w:sz w:val="21"/>
              </w:rPr>
              <w:t>1包：预算金额：</w:t>
            </w:r>
            <w:r>
              <w:rPr>
                <w:rFonts w:ascii="仿宋_GB2312" w:hAnsi="仿宋_GB2312" w:cs="仿宋_GB2312" w:eastAsia="仿宋_GB2312"/>
                <w:sz w:val="21"/>
              </w:rPr>
              <w:t>423300</w:t>
            </w:r>
            <w:r>
              <w:rPr>
                <w:rFonts w:ascii="仿宋_GB2312" w:hAnsi="仿宋_GB2312" w:cs="仿宋_GB2312" w:eastAsia="仿宋_GB2312"/>
                <w:sz w:val="21"/>
              </w:rPr>
              <w:t>.00</w:t>
            </w:r>
            <w:r>
              <w:rPr>
                <w:rFonts w:ascii="仿宋_GB2312" w:hAnsi="仿宋_GB2312" w:cs="仿宋_GB2312" w:eastAsia="仿宋_GB2312"/>
                <w:sz w:val="21"/>
              </w:rPr>
              <w:t>元，服务范围：</w:t>
            </w:r>
            <w:r>
              <w:rPr>
                <w:rFonts w:ascii="仿宋_GB2312" w:hAnsi="仿宋_GB2312" w:cs="仿宋_GB2312" w:eastAsia="仿宋_GB2312"/>
                <w:sz w:val="21"/>
              </w:rPr>
              <w:t>周至</w:t>
            </w:r>
            <w:r>
              <w:rPr>
                <w:rFonts w:ascii="仿宋_GB2312" w:hAnsi="仿宋_GB2312" w:cs="仿宋_GB2312" w:eastAsia="仿宋_GB2312"/>
                <w:sz w:val="21"/>
              </w:rPr>
              <w:t>县</w:t>
            </w:r>
            <w:r>
              <w:rPr>
                <w:rFonts w:ascii="仿宋_GB2312" w:hAnsi="仿宋_GB2312" w:cs="仿宋_GB2312" w:eastAsia="仿宋_GB2312"/>
                <w:sz w:val="21"/>
              </w:rPr>
              <w:t>市场监督管理</w:t>
            </w:r>
            <w:r>
              <w:rPr>
                <w:rFonts w:ascii="仿宋_GB2312" w:hAnsi="仿宋_GB2312" w:cs="仿宋_GB2312" w:eastAsia="仿宋_GB2312"/>
                <w:sz w:val="21"/>
              </w:rPr>
              <w:t>局</w:t>
            </w:r>
            <w:r>
              <w:rPr>
                <w:rFonts w:ascii="仿宋_GB2312" w:hAnsi="仿宋_GB2312" w:cs="仿宋_GB2312" w:eastAsia="仿宋_GB2312"/>
                <w:sz w:val="21"/>
              </w:rPr>
              <w:t>管辖范围内新注册开办企业；</w:t>
            </w:r>
          </w:p>
          <w:p>
            <w:pPr>
              <w:pStyle w:val="null3"/>
              <w:ind w:firstLine="480"/>
              <w:jc w:val="both"/>
            </w:pPr>
            <w:r>
              <w:rPr>
                <w:rFonts w:ascii="仿宋_GB2312" w:hAnsi="仿宋_GB2312" w:cs="仿宋_GB2312" w:eastAsia="仿宋_GB2312"/>
                <w:sz w:val="21"/>
                <w:b/>
              </w:rPr>
              <w:t>二、服务期</w:t>
            </w:r>
          </w:p>
          <w:p>
            <w:pPr>
              <w:pStyle w:val="null3"/>
              <w:ind w:firstLine="480"/>
              <w:jc w:val="both"/>
            </w:pPr>
            <w:r>
              <w:rPr>
                <w:rFonts w:ascii="仿宋_GB2312" w:hAnsi="仿宋_GB2312" w:cs="仿宋_GB2312" w:eastAsia="仿宋_GB2312"/>
                <w:sz w:val="21"/>
              </w:rPr>
              <w:t>自合同签订之日起</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b/>
              </w:rPr>
              <w:t>三、服务要求</w:t>
            </w:r>
          </w:p>
          <w:p>
            <w:pPr>
              <w:pStyle w:val="null3"/>
              <w:ind w:firstLine="480"/>
              <w:jc w:val="both"/>
            </w:pPr>
            <w:r>
              <w:rPr>
                <w:rFonts w:ascii="仿宋_GB2312" w:hAnsi="仿宋_GB2312" w:cs="仿宋_GB2312" w:eastAsia="仿宋_GB2312"/>
                <w:sz w:val="21"/>
              </w:rPr>
              <w:t>1、黄铜印材符合国家要求，刻制；印章深度，不得低于60丝，印迹清晰无墨点。</w:t>
            </w:r>
          </w:p>
          <w:p>
            <w:pPr>
              <w:pStyle w:val="null3"/>
              <w:ind w:firstLine="480"/>
              <w:jc w:val="both"/>
            </w:pPr>
            <w:r>
              <w:rPr>
                <w:rFonts w:ascii="仿宋_GB2312" w:hAnsi="仿宋_GB2312" w:cs="仿宋_GB2312" w:eastAsia="仿宋_GB2312"/>
                <w:sz w:val="21"/>
              </w:rPr>
              <w:t>2、印章刻制设备进驻</w:t>
            </w:r>
            <w:r>
              <w:rPr>
                <w:rFonts w:ascii="仿宋_GB2312" w:hAnsi="仿宋_GB2312" w:cs="仿宋_GB2312" w:eastAsia="仿宋_GB2312"/>
                <w:sz w:val="21"/>
              </w:rPr>
              <w:t>西安市周至县</w:t>
            </w:r>
            <w:r>
              <w:rPr>
                <w:rFonts w:ascii="仿宋_GB2312" w:hAnsi="仿宋_GB2312" w:cs="仿宋_GB2312" w:eastAsia="仿宋_GB2312"/>
                <w:sz w:val="21"/>
              </w:rPr>
              <w:t>政务服务大厅，现场进行印章刻制，实现营业执照和企业印章同步发放。</w:t>
            </w:r>
          </w:p>
          <w:p>
            <w:pPr>
              <w:pStyle w:val="null3"/>
              <w:ind w:firstLine="480"/>
              <w:jc w:val="both"/>
            </w:pPr>
            <w:r>
              <w:rPr>
                <w:rFonts w:ascii="仿宋_GB2312" w:hAnsi="仿宋_GB2312" w:cs="仿宋_GB2312" w:eastAsia="仿宋_GB2312"/>
                <w:sz w:val="21"/>
              </w:rPr>
              <w:t>3、质量标准：</w:t>
            </w:r>
            <w:r>
              <w:rPr>
                <w:rFonts w:ascii="仿宋_GB2312" w:hAnsi="仿宋_GB2312" w:cs="仿宋_GB2312" w:eastAsia="仿宋_GB2312"/>
                <w:sz w:val="21"/>
                <w:b/>
              </w:rPr>
              <w:t>符合国家及行业相关规定及标准</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4、最高限价</w:t>
            </w:r>
            <w:r>
              <w:rPr>
                <w:rFonts w:ascii="仿宋_GB2312" w:hAnsi="仿宋_GB2312" w:cs="仿宋_GB2312" w:eastAsia="仿宋_GB2312"/>
                <w:sz w:val="21"/>
              </w:rPr>
              <w:t>：</w:t>
            </w:r>
            <w:r>
              <w:rPr>
                <w:rFonts w:ascii="仿宋_GB2312" w:hAnsi="仿宋_GB2312" w:cs="仿宋_GB2312" w:eastAsia="仿宋_GB2312"/>
                <w:sz w:val="21"/>
                <w:b/>
              </w:rPr>
              <w:t>249</w:t>
            </w:r>
            <w:r>
              <w:rPr>
                <w:rFonts w:ascii="仿宋_GB2312" w:hAnsi="仿宋_GB2312" w:cs="仿宋_GB2312" w:eastAsia="仿宋_GB2312"/>
                <w:sz w:val="21"/>
                <w:b/>
              </w:rPr>
              <w:t>元</w:t>
            </w:r>
            <w:r>
              <w:rPr>
                <w:rFonts w:ascii="仿宋_GB2312" w:hAnsi="仿宋_GB2312" w:cs="仿宋_GB2312" w:eastAsia="仿宋_GB2312"/>
                <w:sz w:val="21"/>
                <w:b/>
              </w:rPr>
              <w:t>/套</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b/>
              </w:rPr>
              <w:t>四、其他说明</w:t>
            </w:r>
          </w:p>
          <w:p>
            <w:pPr>
              <w:pStyle w:val="null3"/>
              <w:ind w:firstLine="480"/>
              <w:jc w:val="both"/>
            </w:pPr>
            <w:r>
              <w:rPr>
                <w:rFonts w:ascii="仿宋_GB2312" w:hAnsi="仿宋_GB2312" w:cs="仿宋_GB2312" w:eastAsia="仿宋_GB2312"/>
                <w:sz w:val="21"/>
              </w:rPr>
              <w:t>1、服从</w:t>
            </w:r>
            <w:r>
              <w:rPr>
                <w:rFonts w:ascii="仿宋_GB2312" w:hAnsi="仿宋_GB2312" w:cs="仿宋_GB2312" w:eastAsia="仿宋_GB2312"/>
                <w:sz w:val="21"/>
              </w:rPr>
              <w:t>周至县数据和</w:t>
            </w:r>
            <w:r>
              <w:rPr>
                <w:rFonts w:ascii="仿宋_GB2312" w:hAnsi="仿宋_GB2312" w:cs="仿宋_GB2312" w:eastAsia="仿宋_GB2312"/>
                <w:sz w:val="21"/>
              </w:rPr>
              <w:t>行政审批服务局管理要求。</w:t>
            </w:r>
          </w:p>
          <w:p>
            <w:pPr>
              <w:pStyle w:val="null3"/>
              <w:ind w:firstLine="480"/>
              <w:jc w:val="both"/>
            </w:pPr>
            <w:r>
              <w:rPr>
                <w:rFonts w:ascii="仿宋_GB2312" w:hAnsi="仿宋_GB2312" w:cs="仿宋_GB2312" w:eastAsia="仿宋_GB2312"/>
                <w:sz w:val="21"/>
              </w:rPr>
              <w:t>2、企业自身使用磕损不予更换，需按印章破损手续办理。</w:t>
            </w:r>
          </w:p>
          <w:p>
            <w:pPr>
              <w:pStyle w:val="null3"/>
              <w:ind w:firstLine="480"/>
              <w:jc w:val="both"/>
            </w:pPr>
            <w:r>
              <w:rPr>
                <w:rFonts w:ascii="仿宋_GB2312" w:hAnsi="仿宋_GB2312" w:cs="仿宋_GB2312" w:eastAsia="仿宋_GB2312"/>
                <w:sz w:val="21"/>
              </w:rPr>
              <w:t>3、服务过程中，如因服务态度、服务质量等受到企业和群众三次及以上投诉或产生重大舆</w:t>
            </w:r>
            <w:r>
              <w:rPr>
                <w:rFonts w:ascii="仿宋_GB2312" w:hAnsi="仿宋_GB2312" w:cs="仿宋_GB2312" w:eastAsia="仿宋_GB2312"/>
                <w:sz w:val="21"/>
              </w:rPr>
              <w:t>论</w:t>
            </w:r>
            <w:r>
              <w:rPr>
                <w:rFonts w:ascii="仿宋_GB2312" w:hAnsi="仿宋_GB2312" w:cs="仿宋_GB2312" w:eastAsia="仿宋_GB2312"/>
                <w:sz w:val="21"/>
              </w:rPr>
              <w:t>的，采购人有权终止执行合同。</w:t>
            </w:r>
          </w:p>
          <w:p>
            <w:pPr>
              <w:pStyle w:val="null3"/>
              <w:ind w:firstLine="480"/>
              <w:jc w:val="both"/>
            </w:pPr>
            <w:r>
              <w:rPr>
                <w:rFonts w:ascii="仿宋_GB2312" w:hAnsi="仿宋_GB2312" w:cs="仿宋_GB2312" w:eastAsia="仿宋_GB2312"/>
                <w:sz w:val="21"/>
                <w:b/>
              </w:rPr>
              <w:t>五、印章刻制标准</w:t>
            </w:r>
          </w:p>
          <w:p>
            <w:pPr>
              <w:pStyle w:val="null3"/>
              <w:ind w:firstLine="480"/>
              <w:jc w:val="both"/>
            </w:pPr>
            <w:r>
              <w:rPr>
                <w:rFonts w:ascii="仿宋_GB2312" w:hAnsi="仿宋_GB2312" w:cs="仿宋_GB2312" w:eastAsia="仿宋_GB2312"/>
                <w:sz w:val="21"/>
              </w:rPr>
              <w:t>符合《企业事业单位社会团体印章管理的规定》国发〔</w:t>
            </w:r>
            <w:r>
              <w:rPr>
                <w:rFonts w:ascii="仿宋_GB2312" w:hAnsi="仿宋_GB2312" w:cs="仿宋_GB2312" w:eastAsia="仿宋_GB2312"/>
                <w:sz w:val="21"/>
              </w:rPr>
              <w:t>1999〕25号，《陕西省人民政府办公厅关于印发陕西省国家行政机关和企业事业单位社会团体印章管理规定的通知》，《中华人民共和国公安部关于加强刻字业治安管理打击伪造印章犯罪活动的通告》（公通字[1993]104号）、《印铸刻字业暂行管理规则》、《关于认真落实国务院调整旅馆业、公章刻制业和典当业后置行政审批有关事项的通知》（陕公治【2015】52号）、《西安市特种行业治安管理条例》等国家及行业相关规定及标准。如遇国家政策及规定等发生变化时，按新规定标准执行。</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供应商应按采购需求配置履行服务所必需的设施设备，以便提高服务质量及效率。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乙方须向甲方出具与结算价等额的合法有效的完税发票（附清单），发票确认无误后，甲方进行支付结算。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每季度结束后十个工作日内根据实际发生印章刻制费用总价据实结算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 2023 年度或 2024 年度投标人的财务报告或开标前六个月内其基本账户银行出具的资信证明。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法定代表人及被授权人</w:t>
            </w:r>
          </w:p>
        </w:tc>
        <w:tc>
          <w:tcPr>
            <w:tcW w:type="dxa" w:w="3322"/>
          </w:tcPr>
          <w:p>
            <w:pPr>
              <w:pStyle w:val="null3"/>
            </w:pPr>
            <w:r>
              <w:rPr>
                <w:rFonts w:ascii="仿宋_GB2312" w:hAnsi="仿宋_GB2312" w:cs="仿宋_GB2312" w:eastAsia="仿宋_GB2312"/>
              </w:rPr>
              <w:t>法定代表人委托授权书及被授权人身份证原件（法定代表人参加投标的只需提供法定代表人身份证）；</w:t>
            </w:r>
          </w:p>
        </w:tc>
        <w:tc>
          <w:tcPr>
            <w:tcW w:type="dxa" w:w="1661"/>
          </w:tcPr>
          <w:p>
            <w:pPr>
              <w:pStyle w:val="null3"/>
            </w:pPr>
            <w:r>
              <w:rPr>
                <w:rFonts w:ascii="仿宋_GB2312" w:hAnsi="仿宋_GB2312" w:cs="仿宋_GB2312" w:eastAsia="仿宋_GB2312"/>
              </w:rPr>
              <w:t>法定代表人资格证明 资格证明文件 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2023 年度或 2024 年度投标人的财务报告或开标前六个月内其基本账户银行出具的资信证明；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供应商需提供投标截至日期前6个月内任意一个月的完税凭证或税务机关开具的完税证明（任意税种）；依法免税的应提供相关文件证明；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供应商需提供投标截止日期前6个月内任意一个月的社会保障资金缴存单据或社保机构开具的社会保险参保缴费情况证明；依法不需要缴纳社会保障资金的应提供相关文件证明；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供应商须提供公安部门颁发的关于印章刻制方面的《特种行业许可证》；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出具参加政府采购活动前三年内在经营活动中没有重大违法记录的书面声明；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供应商应在投标截止日前未被列入失信被执行人、重大税收违法失信主体名单、政府采购严重违法失信行为记录名单（处罚期限届满的除外）（以“信用中国”网站 （www.creditchina.gov.cn）、中国政府采购网（www.ccgp.gov.cn）查询结果为准，提供网站截图并加盖供应商公章）；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（2）磋商报价一览表填写符合要求； （3）计量单位、报价货币均符合磋商文件要求； （4）未超过采购预算或磋商文件规定的最高限价。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法定代表人授权委托书 中小企业声明函 商务应答表 服务内容及服务要求应答表 报价表 业绩一览表 响应文件封面 法定代表人资格证明 资格证明文件 残疾人福利性单位声明函 标的清单 响应函 实施方案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法定代表人授权委托书 中小企业声明函 商务应答表 服务内容及服务要求应答表 报价表 业绩一览表 响应文件封面 法定代表人资格证明 资格证明文件 残疾人福利性单位声明函 标的清单 响应函 实施方案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1、供应商经营管理体制健全，制度完整严密，至少应包括财务管理制度、质量管理制度、员工管理制度，按其响应程度计[0-7]分。 2、服务实施方案（包含服务工作流程、接待工作方案、印章刻制服务方案等）描述满足采购要求、细节考虑到位、且能考虑到用户的实际使用情况，按其响应程度计[0-7]分。 3、针对本项目具有产品交付进度保证措施，能按照采购人要求的时间内出章。按其响应程度计[0-7]分。 4、紧急业务或突发业务保障应急措施，按其响应程度计[0-7]分。 5、针对本项目的安全保密管理方案，按其响应程度计[0-7]分。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1、刻章所需原材料的进货渠道正规，提供原材料来源采购发票或采购合同等证明材料，计[0-5]分，未提供证明材料的不得分。 2、所投产品采用先进工艺加工、选用材料优良，耐久性好，维修率低，质量保证措施得力。按其响应程度计[0-5]分。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1、产品材质、工艺及包装等技术参数指标详细、明确、满足采购要求、符合国家、行业技术标准，按其响应程度计[0-5]分。 2、产品的技术资料（样图、效果图、规格、质量检验报告等）详尽、齐全、完全符合项目需求计[3-5]分；产品的技术资料不全、基本符合项目需求计[0-3]分。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每配备一名刻章技术人员，计2分，最高计4分。提供人员明细表，格式自拟，包括但不限于姓名、年龄、身份证号码等。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供应商具有铜制印章加工能力并提供拟投入设备的证明材料（包括但不限于设备照片、购置合同或发票等），按其响应程度计[0-10]分，无证明材料不得分。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提供详细、可行的售后服务及承诺。按其响应程度计[0-15]分。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提供近三年的同类项目业绩（以加盖单位公章的合同复印件为准），每提供一份计2分，满分6分。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（1）投标人的投标总价超过招标预算金额的视为废标，不再参与下一步评审。 （2）评标基准价：所有有效投标报价的最低报价作为评标基准价。 （3）投标人有效投标总价等于评标基准价的，得满分10分，其他各投标人的报价得分按下列公式计算： （基准价/投标报价）×10％×100。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