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74903">
      <w:pPr>
        <w:spacing w:line="360" w:lineRule="auto"/>
        <w:jc w:val="center"/>
        <w:rPr>
          <w:rFonts w:hint="default" w:ascii="宋体" w:hAnsi="宋体" w:eastAsia="宋体" w:cs="宋体"/>
          <w:b/>
          <w:bCs/>
          <w:color w:val="auto"/>
          <w:sz w:val="46"/>
          <w:szCs w:val="46"/>
          <w:highlight w:val="none"/>
          <w:lang w:val="en-US" w:eastAsia="zh-CN"/>
        </w:rPr>
      </w:pPr>
      <w:r>
        <w:rPr>
          <w:rFonts w:hint="eastAsia" w:ascii="宋体" w:hAnsi="宋体" w:cs="宋体"/>
          <w:b/>
          <w:bCs/>
          <w:color w:val="auto"/>
          <w:sz w:val="46"/>
          <w:szCs w:val="46"/>
          <w:highlight w:val="none"/>
          <w:lang w:val="en-US" w:eastAsia="zh-CN"/>
        </w:rPr>
        <w:t>印章刻制服务项目</w:t>
      </w:r>
    </w:p>
    <w:p w14:paraId="3BD5D5B0">
      <w:pPr>
        <w:pStyle w:val="5"/>
        <w:ind w:firstLine="560" w:firstLineChars="200"/>
        <w:rPr>
          <w:rFonts w:hint="eastAsia" w:ascii="宋体" w:hAnsi="宋体" w:eastAsia="宋体" w:cs="宋体"/>
          <w:color w:val="auto"/>
          <w:sz w:val="28"/>
          <w:szCs w:val="24"/>
          <w:highlight w:val="none"/>
        </w:rPr>
      </w:pPr>
    </w:p>
    <w:p w14:paraId="6D646C47">
      <w:pPr>
        <w:pStyle w:val="5"/>
        <w:ind w:firstLine="560" w:firstLineChars="200"/>
        <w:rPr>
          <w:rFonts w:hint="eastAsia" w:ascii="宋体" w:hAnsi="宋体" w:eastAsia="宋体" w:cs="宋体"/>
          <w:color w:val="auto"/>
          <w:sz w:val="28"/>
          <w:szCs w:val="24"/>
          <w:highlight w:val="none"/>
        </w:rPr>
      </w:pPr>
    </w:p>
    <w:p w14:paraId="7FA43C1B">
      <w:pPr>
        <w:pStyle w:val="5"/>
        <w:ind w:firstLine="560" w:firstLineChars="200"/>
        <w:rPr>
          <w:rFonts w:hint="eastAsia" w:ascii="宋体" w:hAnsi="宋体" w:eastAsia="宋体" w:cs="宋体"/>
          <w:color w:val="auto"/>
          <w:sz w:val="28"/>
          <w:szCs w:val="24"/>
          <w:highlight w:val="none"/>
        </w:rPr>
      </w:pPr>
    </w:p>
    <w:p w14:paraId="09F178B2">
      <w:pPr>
        <w:jc w:val="center"/>
        <w:rPr>
          <w:rFonts w:ascii="宋体" w:hAnsi="宋体"/>
          <w:b/>
          <w:bCs/>
          <w:color w:val="auto"/>
          <w:sz w:val="70"/>
          <w:szCs w:val="70"/>
          <w:highlight w:val="none"/>
        </w:rPr>
      </w:pPr>
      <w:r>
        <w:rPr>
          <w:rFonts w:hint="eastAsia" w:ascii="宋体" w:hAnsi="宋体"/>
          <w:b/>
          <w:bCs/>
          <w:color w:val="auto"/>
          <w:sz w:val="70"/>
          <w:szCs w:val="70"/>
          <w:highlight w:val="none"/>
        </w:rPr>
        <w:t>合 同 书</w:t>
      </w:r>
    </w:p>
    <w:p w14:paraId="2F1F34A1">
      <w:pPr>
        <w:jc w:val="center"/>
        <w:rPr>
          <w:rFonts w:ascii="宋体" w:hAnsi="宋体"/>
          <w:b/>
          <w:bCs/>
          <w:color w:val="auto"/>
          <w:sz w:val="48"/>
          <w:szCs w:val="48"/>
          <w:highlight w:val="none"/>
        </w:rPr>
      </w:pPr>
      <w:r>
        <w:rPr>
          <w:rFonts w:hint="eastAsia" w:ascii="宋体" w:hAnsi="宋体"/>
          <w:b/>
          <w:bCs/>
          <w:color w:val="auto"/>
          <w:sz w:val="48"/>
          <w:szCs w:val="48"/>
          <w:highlight w:val="none"/>
        </w:rPr>
        <w:t xml:space="preserve"> </w:t>
      </w:r>
    </w:p>
    <w:p w14:paraId="00908D6C">
      <w:pPr>
        <w:jc w:val="center"/>
        <w:rPr>
          <w:rFonts w:ascii="宋体" w:hAnsi="宋体"/>
          <w:b/>
          <w:bCs/>
          <w:color w:val="auto"/>
          <w:sz w:val="48"/>
          <w:szCs w:val="48"/>
          <w:highlight w:val="none"/>
        </w:rPr>
      </w:pPr>
      <w:r>
        <w:rPr>
          <w:rFonts w:hint="eastAsia" w:ascii="宋体" w:hAnsi="宋体"/>
          <w:b/>
          <w:bCs/>
          <w:color w:val="auto"/>
          <w:sz w:val="48"/>
          <w:szCs w:val="48"/>
          <w:highlight w:val="none"/>
        </w:rPr>
        <w:t xml:space="preserve"> </w:t>
      </w:r>
    </w:p>
    <w:p w14:paraId="58A8F012">
      <w:pPr>
        <w:jc w:val="center"/>
        <w:rPr>
          <w:rFonts w:ascii="宋体" w:hAnsi="宋体"/>
          <w:b/>
          <w:bCs/>
          <w:color w:val="auto"/>
          <w:sz w:val="30"/>
          <w:szCs w:val="30"/>
          <w:highlight w:val="none"/>
        </w:rPr>
      </w:pPr>
      <w:r>
        <w:rPr>
          <w:rFonts w:hint="eastAsia" w:ascii="宋体" w:hAnsi="宋体"/>
          <w:b/>
          <w:bCs/>
          <w:color w:val="auto"/>
          <w:sz w:val="32"/>
          <w:szCs w:val="32"/>
          <w:highlight w:val="none"/>
        </w:rPr>
        <w:t>合同编号：</w:t>
      </w:r>
      <w:r>
        <w:rPr>
          <w:rFonts w:hint="eastAsia" w:ascii="宋体" w:hAnsi="宋体"/>
          <w:b/>
          <w:bCs/>
          <w:color w:val="auto"/>
          <w:sz w:val="30"/>
          <w:szCs w:val="30"/>
          <w:highlight w:val="none"/>
        </w:rPr>
        <w:t>XXXX</w:t>
      </w:r>
    </w:p>
    <w:p w14:paraId="5B080C58">
      <w:pPr>
        <w:rPr>
          <w:rFonts w:ascii="宋体" w:hAnsi="宋体"/>
          <w:b/>
          <w:bCs/>
          <w:color w:val="auto"/>
          <w:highlight w:val="none"/>
        </w:rPr>
      </w:pPr>
      <w:r>
        <w:rPr>
          <w:rFonts w:hint="eastAsia" w:ascii="宋体" w:hAnsi="宋体"/>
          <w:b/>
          <w:bCs/>
          <w:color w:val="auto"/>
          <w:highlight w:val="none"/>
        </w:rPr>
        <w:t xml:space="preserve"> </w:t>
      </w:r>
    </w:p>
    <w:p w14:paraId="180716FB">
      <w:pPr>
        <w:rPr>
          <w:rFonts w:ascii="宋体" w:hAnsi="宋体"/>
          <w:b/>
          <w:bCs/>
          <w:color w:val="auto"/>
          <w:highlight w:val="none"/>
        </w:rPr>
      </w:pPr>
      <w:r>
        <w:rPr>
          <w:rFonts w:hint="eastAsia" w:ascii="宋体" w:hAnsi="宋体"/>
          <w:b/>
          <w:bCs/>
          <w:color w:val="auto"/>
          <w:highlight w:val="none"/>
        </w:rPr>
        <w:t xml:space="preserve"> </w:t>
      </w:r>
    </w:p>
    <w:p w14:paraId="7FD2CCD8">
      <w:pPr>
        <w:rPr>
          <w:rFonts w:ascii="宋体" w:hAnsi="宋体"/>
          <w:b/>
          <w:bCs/>
          <w:color w:val="auto"/>
          <w:highlight w:val="none"/>
        </w:rPr>
      </w:pPr>
      <w:r>
        <w:rPr>
          <w:rFonts w:hint="eastAsia" w:ascii="宋体" w:hAnsi="宋体"/>
          <w:b/>
          <w:bCs/>
          <w:color w:val="auto"/>
          <w:highlight w:val="none"/>
        </w:rPr>
        <w:t xml:space="preserve"> </w:t>
      </w:r>
    </w:p>
    <w:p w14:paraId="3FB6C8BE">
      <w:pPr>
        <w:rPr>
          <w:rFonts w:hint="eastAsia" w:ascii="宋体" w:hAnsi="宋体"/>
          <w:b/>
          <w:bCs/>
          <w:color w:val="auto"/>
          <w:highlight w:val="none"/>
        </w:rPr>
      </w:pPr>
      <w:r>
        <w:rPr>
          <w:rFonts w:hint="eastAsia" w:ascii="宋体" w:hAnsi="宋体"/>
          <w:b/>
          <w:bCs/>
          <w:color w:val="auto"/>
          <w:highlight w:val="none"/>
        </w:rPr>
        <w:t xml:space="preserve"> </w:t>
      </w:r>
    </w:p>
    <w:p w14:paraId="4005CDE8">
      <w:pPr>
        <w:pStyle w:val="4"/>
        <w:rPr>
          <w:rFonts w:hint="eastAsia" w:ascii="宋体" w:hAnsi="宋体"/>
          <w:b/>
          <w:bCs/>
          <w:color w:val="auto"/>
          <w:highlight w:val="none"/>
        </w:rPr>
      </w:pPr>
    </w:p>
    <w:p w14:paraId="181F86E3">
      <w:pPr>
        <w:rPr>
          <w:color w:val="auto"/>
          <w:highlight w:val="none"/>
        </w:rPr>
      </w:pPr>
    </w:p>
    <w:p w14:paraId="19C5ADEB">
      <w:pPr>
        <w:rPr>
          <w:rFonts w:ascii="宋体" w:hAnsi="宋体"/>
          <w:b/>
          <w:bCs/>
          <w:color w:val="auto"/>
          <w:highlight w:val="none"/>
        </w:rPr>
      </w:pPr>
      <w:r>
        <w:rPr>
          <w:rFonts w:hint="eastAsia" w:ascii="宋体" w:hAnsi="宋体"/>
          <w:b/>
          <w:bCs/>
          <w:color w:val="auto"/>
          <w:highlight w:val="none"/>
        </w:rPr>
        <w:t xml:space="preserve"> </w:t>
      </w:r>
    </w:p>
    <w:p w14:paraId="29C785FB">
      <w:pPr>
        <w:rPr>
          <w:rFonts w:ascii="宋体" w:hAnsi="宋体"/>
          <w:b/>
          <w:bCs/>
          <w:color w:val="auto"/>
          <w:highlight w:val="none"/>
        </w:rPr>
      </w:pPr>
    </w:p>
    <w:p w14:paraId="3580F7B5">
      <w:pPr>
        <w:rPr>
          <w:rFonts w:ascii="宋体" w:hAnsi="宋体"/>
          <w:b/>
          <w:bCs/>
          <w:color w:val="auto"/>
          <w:highlight w:val="none"/>
        </w:rPr>
      </w:pPr>
      <w:r>
        <w:rPr>
          <w:rFonts w:hint="eastAsia" w:ascii="宋体" w:hAnsi="宋体"/>
          <w:b/>
          <w:bCs/>
          <w:color w:val="auto"/>
          <w:highlight w:val="none"/>
        </w:rPr>
        <w:t xml:space="preserve"> </w:t>
      </w:r>
    </w:p>
    <w:p w14:paraId="522D9F45">
      <w:pPr>
        <w:rPr>
          <w:rFonts w:ascii="宋体" w:hAnsi="宋体"/>
          <w:b/>
          <w:bCs/>
          <w:color w:val="auto"/>
          <w:highlight w:val="none"/>
        </w:rPr>
      </w:pPr>
      <w:r>
        <w:rPr>
          <w:rFonts w:hint="eastAsia" w:ascii="宋体" w:hAnsi="宋体"/>
          <w:b/>
          <w:bCs/>
          <w:color w:val="auto"/>
          <w:highlight w:val="none"/>
        </w:rPr>
        <w:t xml:space="preserve"> </w:t>
      </w:r>
    </w:p>
    <w:p w14:paraId="08E58A09">
      <w:pPr>
        <w:spacing w:line="360" w:lineRule="auto"/>
        <w:ind w:left="0" w:leftChars="0" w:firstLine="1924" w:firstLineChars="524"/>
        <w:jc w:val="both"/>
        <w:rPr>
          <w:rFonts w:hint="default" w:ascii="宋体" w:hAnsi="宋体"/>
          <w:b/>
          <w:bCs/>
          <w:color w:val="auto"/>
          <w:spacing w:val="23"/>
          <w:sz w:val="32"/>
          <w:szCs w:val="32"/>
          <w:highlight w:val="none"/>
          <w:u w:val="single"/>
        </w:rPr>
      </w:pPr>
      <w:r>
        <w:rPr>
          <w:rFonts w:hint="eastAsia" w:ascii="宋体" w:hAnsi="宋体"/>
          <w:b/>
          <w:bCs/>
          <w:color w:val="auto"/>
          <w:spacing w:val="23"/>
          <w:sz w:val="32"/>
          <w:szCs w:val="32"/>
          <w:highlight w:val="none"/>
        </w:rPr>
        <w:t>甲方(采购人)</w:t>
      </w:r>
      <w:r>
        <w:rPr>
          <w:rFonts w:hint="eastAsia" w:ascii="宋体" w:hAnsi="宋体"/>
          <w:b/>
          <w:bCs/>
          <w:color w:val="auto"/>
          <w:spacing w:val="23"/>
          <w:sz w:val="32"/>
          <w:szCs w:val="32"/>
          <w:highlight w:val="none"/>
          <w:lang w:eastAsia="zh-CN"/>
        </w:rPr>
        <w:t>：</w:t>
      </w:r>
      <w:r>
        <w:rPr>
          <w:rFonts w:hint="eastAsia" w:ascii="宋体" w:hAnsi="宋体"/>
          <w:color w:val="auto"/>
          <w:spacing w:val="23"/>
          <w:sz w:val="28"/>
          <w:szCs w:val="28"/>
          <w:highlight w:val="none"/>
          <w:u w:val="single"/>
          <w:lang w:val="en-US" w:eastAsia="zh-CN"/>
        </w:rPr>
        <w:t xml:space="preserve">            </w:t>
      </w:r>
    </w:p>
    <w:p w14:paraId="62FC2AED">
      <w:pPr>
        <w:spacing w:line="360" w:lineRule="auto"/>
        <w:ind w:left="0" w:leftChars="0" w:firstLine="1440" w:firstLineChars="600"/>
        <w:jc w:val="both"/>
        <w:rPr>
          <w:rFonts w:hint="default" w:ascii="宋体" w:hAnsi="宋体"/>
          <w:b/>
          <w:bCs/>
          <w:color w:val="auto"/>
          <w:spacing w:val="23"/>
          <w:sz w:val="32"/>
          <w:szCs w:val="32"/>
          <w:highlight w:val="none"/>
          <w:u w:val="single"/>
        </w:rPr>
      </w:pPr>
      <w:r>
        <w:rPr>
          <w:rFonts w:hint="eastAsia"/>
          <w:color w:val="auto"/>
          <w:highlight w:val="none"/>
          <w:lang w:val="en-US" w:eastAsia="zh-CN"/>
        </w:rPr>
        <w:t xml:space="preserve">    </w:t>
      </w: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Style w:val="9"/>
          <w:rFonts w:hint="eastAsia" w:ascii="宋体" w:hAnsi="宋体"/>
          <w:b/>
          <w:bCs/>
          <w:color w:val="auto"/>
          <w:spacing w:val="23"/>
          <w:sz w:val="32"/>
          <w:szCs w:val="32"/>
          <w:highlight w:val="none"/>
          <w:u w:val="none"/>
        </w:rPr>
        <w:t>乙方</w:t>
      </w:r>
      <w:r>
        <w:rPr>
          <w:rFonts w:hint="eastAsia" w:ascii="宋体" w:hAnsi="宋体"/>
          <w:b/>
          <w:bCs/>
          <w:color w:val="auto"/>
          <w:spacing w:val="23"/>
          <w:sz w:val="32"/>
          <w:szCs w:val="32"/>
          <w:highlight w:val="none"/>
        </w:rPr>
        <w:fldChar w:fldCharType="end"/>
      </w:r>
      <w:r>
        <w:rPr>
          <w:rFonts w:hint="eastAsia" w:ascii="宋体" w:hAnsi="宋体"/>
          <w:b/>
          <w:bCs/>
          <w:color w:val="auto"/>
          <w:spacing w:val="23"/>
          <w:sz w:val="32"/>
          <w:szCs w:val="32"/>
          <w:highlight w:val="none"/>
        </w:rPr>
        <w:t>(中标人)：</w:t>
      </w:r>
      <w:r>
        <w:rPr>
          <w:rFonts w:hint="eastAsia" w:ascii="宋体" w:hAnsi="宋体"/>
          <w:color w:val="auto"/>
          <w:spacing w:val="23"/>
          <w:sz w:val="28"/>
          <w:szCs w:val="28"/>
          <w:highlight w:val="none"/>
          <w:u w:val="single"/>
          <w:lang w:val="en-US" w:eastAsia="zh-CN"/>
        </w:rPr>
        <w:t xml:space="preserve">            </w:t>
      </w:r>
    </w:p>
    <w:p w14:paraId="4B34701E">
      <w:pPr>
        <w:spacing w:line="360" w:lineRule="auto"/>
        <w:ind w:left="1416" w:leftChars="590" w:firstLine="503" w:firstLineChars="137"/>
        <w:jc w:val="both"/>
        <w:rPr>
          <w:rFonts w:ascii="宋体" w:hAnsi="宋体"/>
          <w:b/>
          <w:bCs/>
          <w:color w:val="auto"/>
          <w:sz w:val="40"/>
          <w:szCs w:val="40"/>
          <w:highlight w:val="none"/>
        </w:rPr>
      </w:pPr>
      <w:r>
        <w:rPr>
          <w:rFonts w:hint="eastAsia" w:ascii="宋体" w:hAnsi="宋体"/>
          <w:b/>
          <w:bCs/>
          <w:color w:val="auto"/>
          <w:spacing w:val="23"/>
          <w:sz w:val="32"/>
          <w:szCs w:val="32"/>
          <w:highlight w:val="none"/>
        </w:rPr>
        <w:t>签订时间：</w:t>
      </w:r>
      <w:r>
        <w:rPr>
          <w:rFonts w:hint="eastAsia" w:ascii="宋体" w:hAnsi="宋体"/>
          <w:color w:val="auto"/>
          <w:spacing w:val="23"/>
          <w:sz w:val="28"/>
          <w:szCs w:val="28"/>
          <w:highlight w:val="none"/>
          <w:u w:val="single"/>
          <w:lang w:val="en-US" w:eastAsia="zh-CN"/>
        </w:rPr>
        <w:t xml:space="preserve">    </w:t>
      </w:r>
      <w:r>
        <w:rPr>
          <w:rFonts w:hint="eastAsia" w:ascii="宋体" w:hAnsi="宋体"/>
          <w:b/>
          <w:bCs/>
          <w:color w:val="auto"/>
          <w:spacing w:val="23"/>
          <w:sz w:val="32"/>
          <w:szCs w:val="32"/>
          <w:highlight w:val="none"/>
        </w:rPr>
        <w:t>年</w:t>
      </w:r>
      <w:r>
        <w:rPr>
          <w:rFonts w:hint="eastAsia" w:ascii="宋体" w:hAnsi="宋体"/>
          <w:color w:val="auto"/>
          <w:spacing w:val="23"/>
          <w:sz w:val="28"/>
          <w:szCs w:val="28"/>
          <w:highlight w:val="none"/>
          <w:u w:val="single"/>
          <w:lang w:val="en-US" w:eastAsia="zh-CN"/>
        </w:rPr>
        <w:t xml:space="preserve">    </w:t>
      </w:r>
      <w:r>
        <w:rPr>
          <w:rFonts w:hint="eastAsia" w:ascii="宋体" w:hAnsi="宋体"/>
          <w:b/>
          <w:bCs/>
          <w:color w:val="auto"/>
          <w:spacing w:val="23"/>
          <w:sz w:val="32"/>
          <w:szCs w:val="32"/>
          <w:highlight w:val="none"/>
        </w:rPr>
        <w:t>月</w:t>
      </w:r>
      <w:r>
        <w:rPr>
          <w:rFonts w:hint="eastAsia" w:ascii="宋体" w:hAnsi="宋体"/>
          <w:color w:val="auto"/>
          <w:spacing w:val="23"/>
          <w:sz w:val="28"/>
          <w:szCs w:val="28"/>
          <w:highlight w:val="none"/>
          <w:u w:val="single"/>
          <w:lang w:val="en-US" w:eastAsia="zh-CN"/>
        </w:rPr>
        <w:t xml:space="preserve">    </w:t>
      </w:r>
      <w:r>
        <w:rPr>
          <w:rFonts w:hint="eastAsia" w:ascii="宋体" w:hAnsi="宋体"/>
          <w:b/>
          <w:bCs/>
          <w:color w:val="auto"/>
          <w:spacing w:val="23"/>
          <w:sz w:val="32"/>
          <w:szCs w:val="32"/>
          <w:highlight w:val="none"/>
        </w:rPr>
        <w:t>日</w:t>
      </w:r>
    </w:p>
    <w:p w14:paraId="4253B849">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9453244">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eastAsia="宋体" w:cs="宋体"/>
          <w:color w:val="auto"/>
          <w:szCs w:val="24"/>
          <w:highlight w:val="none"/>
          <w:lang w:val="en-US" w:eastAsia="zh-CN"/>
        </w:rPr>
      </w:pPr>
      <w:r>
        <w:rPr>
          <w:rFonts w:hint="eastAsia" w:ascii="宋体" w:hAnsi="宋体" w:cs="宋体"/>
          <w:color w:val="auto"/>
          <w:szCs w:val="24"/>
          <w:highlight w:val="none"/>
        </w:rPr>
        <w:t>甲方（采购人）：</w:t>
      </w:r>
      <w:r>
        <w:rPr>
          <w:rFonts w:hint="eastAsia" w:ascii="宋体" w:hAnsi="宋体" w:cs="宋体"/>
          <w:color w:val="auto"/>
          <w:szCs w:val="24"/>
          <w:highlight w:val="none"/>
          <w:u w:val="single"/>
          <w:lang w:val="en-US" w:eastAsia="zh-CN"/>
        </w:rPr>
        <w:t xml:space="preserve">   周至县数据和行政审批服务局   </w:t>
      </w:r>
    </w:p>
    <w:p w14:paraId="69B18DF4">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cs="宋体"/>
          <w:color w:val="auto"/>
          <w:szCs w:val="24"/>
          <w:highlight w:val="none"/>
        </w:rPr>
      </w:pPr>
      <w:r>
        <w:rPr>
          <w:rFonts w:hint="eastAsia" w:ascii="宋体" w:hAnsi="宋体" w:cs="宋体"/>
          <w:color w:val="auto"/>
          <w:szCs w:val="24"/>
          <w:highlight w:val="none"/>
        </w:rPr>
        <w:t>乙方（中标人）：</w:t>
      </w:r>
      <w:r>
        <w:rPr>
          <w:rFonts w:hint="eastAsia" w:ascii="宋体" w:hAnsi="宋体" w:cs="宋体"/>
          <w:color w:val="auto"/>
          <w:szCs w:val="24"/>
          <w:highlight w:val="none"/>
          <w:u w:val="single"/>
        </w:rPr>
        <w:t xml:space="preserve">                                </w:t>
      </w:r>
    </w:p>
    <w:p w14:paraId="15492D81">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jc w:val="left"/>
        <w:textAlignment w:val="auto"/>
        <w:rPr>
          <w:rFonts w:hint="eastAsia" w:ascii="宋体" w:hAnsi="宋体" w:cs="宋体"/>
          <w:color w:val="auto"/>
          <w:szCs w:val="24"/>
          <w:highlight w:val="none"/>
        </w:rPr>
      </w:pPr>
      <w:r>
        <w:rPr>
          <w:rFonts w:hint="eastAsia" w:ascii="宋体" w:hAnsi="宋体" w:cs="宋体"/>
          <w:color w:val="auto"/>
          <w:szCs w:val="24"/>
          <w:highlight w:val="none"/>
        </w:rPr>
        <w:t xml:space="preserve">签 订 地  点：  </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u w:val="single"/>
          <w:lang w:val="en-US" w:eastAsia="zh-CN"/>
        </w:rPr>
        <w:t xml:space="preserve">          </w:t>
      </w:r>
      <w:r>
        <w:rPr>
          <w:rFonts w:hint="eastAsia" w:ascii="宋体" w:hAnsi="宋体" w:cs="宋体"/>
          <w:color w:val="auto"/>
          <w:szCs w:val="24"/>
          <w:highlight w:val="none"/>
          <w:u w:val="single"/>
        </w:rPr>
        <w:t xml:space="preserve">     </w:t>
      </w:r>
    </w:p>
    <w:p w14:paraId="092C975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color w:val="auto"/>
          <w:szCs w:val="24"/>
          <w:highlight w:val="none"/>
        </w:rPr>
      </w:pPr>
      <w:r>
        <w:rPr>
          <w:rFonts w:hint="eastAsia" w:ascii="宋体" w:hAnsi="宋体" w:cs="宋体"/>
          <w:color w:val="auto"/>
          <w:szCs w:val="24"/>
          <w:highlight w:val="none"/>
        </w:rPr>
        <w:t>乙方在</w:t>
      </w:r>
      <w:r>
        <w:rPr>
          <w:rFonts w:hint="eastAsia" w:ascii="宋体" w:hAnsi="宋体" w:cs="宋体"/>
          <w:color w:val="auto"/>
          <w:szCs w:val="24"/>
          <w:highlight w:val="none"/>
          <w:u w:val="single"/>
          <w:lang w:val="en-US" w:eastAsia="zh-CN"/>
        </w:rPr>
        <w:t>印章刻制服务项目</w:t>
      </w:r>
      <w:r>
        <w:rPr>
          <w:rFonts w:hint="eastAsia" w:ascii="宋体" w:hAnsi="宋体" w:cs="宋体"/>
          <w:color w:val="auto"/>
          <w:szCs w:val="24"/>
          <w:highlight w:val="none"/>
        </w:rPr>
        <w:t>的</w:t>
      </w:r>
      <w:r>
        <w:rPr>
          <w:rFonts w:hint="eastAsia" w:ascii="宋体" w:hAnsi="宋体" w:cs="宋体"/>
          <w:color w:val="auto"/>
          <w:szCs w:val="24"/>
          <w:highlight w:val="none"/>
          <w:u w:val="single"/>
          <w:lang w:val="en-US" w:eastAsia="zh-CN"/>
        </w:rPr>
        <w:t>竞争性磋商</w:t>
      </w:r>
      <w:r>
        <w:rPr>
          <w:rFonts w:hint="eastAsia" w:ascii="宋体" w:hAnsi="宋体" w:cs="宋体"/>
          <w:color w:val="auto"/>
          <w:szCs w:val="24"/>
          <w:highlight w:val="none"/>
          <w:u w:val="single"/>
        </w:rPr>
        <w:t>招标</w:t>
      </w:r>
      <w:r>
        <w:rPr>
          <w:rFonts w:hint="eastAsia" w:ascii="宋体" w:hAnsi="宋体" w:cs="宋体"/>
          <w:color w:val="auto"/>
          <w:szCs w:val="24"/>
          <w:highlight w:val="none"/>
        </w:rPr>
        <w:t>采购中，通过公平竞争，成功中标。现依据《中华人民共和国</w:t>
      </w:r>
      <w:r>
        <w:rPr>
          <w:rFonts w:hint="eastAsia" w:ascii="宋体" w:hAnsi="宋体" w:cs="宋体"/>
          <w:color w:val="auto"/>
          <w:szCs w:val="24"/>
          <w:highlight w:val="none"/>
          <w:lang w:eastAsia="zh-CN"/>
        </w:rPr>
        <w:t>民法典</w:t>
      </w:r>
      <w:r>
        <w:rPr>
          <w:rFonts w:hint="eastAsia" w:ascii="宋体" w:hAnsi="宋体" w:cs="宋体"/>
          <w:color w:val="auto"/>
          <w:szCs w:val="24"/>
          <w:highlight w:val="none"/>
        </w:rPr>
        <w:t>》、《中华人民共和国政府采购法》，为确保甲方采购项目的顺利实施，甲、乙双方在平等自愿原则下签订本合同，以便共同遵守。</w:t>
      </w:r>
    </w:p>
    <w:p w14:paraId="0BBBA87C">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  服务内容与质量标准</w:t>
      </w:r>
    </w:p>
    <w:p w14:paraId="5E787BD5">
      <w:pPr>
        <w:spacing w:line="360" w:lineRule="auto"/>
        <w:ind w:firstLine="480" w:firstLineChars="200"/>
        <w:jc w:val="left"/>
        <w:rPr>
          <w:rFonts w:hint="default" w:ascii="Times New Roman" w:hAnsi="Times New Roman" w:eastAsia="宋体" w:cs="Times New Roman"/>
          <w:color w:val="auto"/>
          <w:sz w:val="24"/>
          <w:szCs w:val="22"/>
          <w:highlight w:val="none"/>
        </w:rPr>
      </w:pPr>
      <w:r>
        <w:rPr>
          <w:rFonts w:hint="eastAsia" w:ascii="宋体" w:hAnsi="宋体" w:eastAsia="宋体" w:cs="宋体"/>
          <w:color w:val="auto"/>
          <w:sz w:val="24"/>
          <w:szCs w:val="24"/>
          <w:highlight w:val="none"/>
        </w:rPr>
        <w:t>本项目用于</w:t>
      </w:r>
      <w:r>
        <w:rPr>
          <w:rFonts w:hint="eastAsia" w:ascii="宋体" w:hAnsi="宋体" w:cs="宋体"/>
          <w:color w:val="auto"/>
          <w:sz w:val="24"/>
          <w:szCs w:val="24"/>
          <w:highlight w:val="none"/>
          <w:lang w:val="en-US" w:eastAsia="zh-CN"/>
        </w:rPr>
        <w:t>周至县数据和</w:t>
      </w:r>
      <w:r>
        <w:rPr>
          <w:rFonts w:hint="eastAsia" w:ascii="宋体" w:hAnsi="宋体" w:eastAsia="宋体" w:cs="宋体"/>
          <w:color w:val="auto"/>
          <w:sz w:val="24"/>
          <w:szCs w:val="24"/>
          <w:highlight w:val="none"/>
          <w:lang w:eastAsia="zh-CN"/>
        </w:rPr>
        <w:t>行政审批服务局新增企业免费刻章服务</w:t>
      </w:r>
      <w:r>
        <w:rPr>
          <w:rFonts w:hint="eastAsia" w:ascii="宋体" w:hAnsi="宋体" w:eastAsia="宋体" w:cs="宋体"/>
          <w:color w:val="auto"/>
          <w:sz w:val="24"/>
          <w:szCs w:val="24"/>
          <w:highlight w:val="none"/>
        </w:rPr>
        <w:t>，</w:t>
      </w:r>
      <w:r>
        <w:rPr>
          <w:rFonts w:hint="eastAsia" w:ascii="宋体" w:hAnsi="宋体" w:eastAsia="宋体" w:cs="宋体"/>
          <w:color w:val="auto"/>
          <w:szCs w:val="24"/>
          <w:highlight w:val="none"/>
        </w:rPr>
        <w:t>为每户新注册企业免费刻制包含“单位公章”、“合同专用章”“财务专用章”、“发票专用章”、“法人章”等一套共五枚印章。印章材质均为防伪铜章</w:t>
      </w:r>
      <w:r>
        <w:rPr>
          <w:rFonts w:hint="eastAsia" w:ascii="宋体" w:hAnsi="宋体" w:cs="宋体"/>
          <w:color w:val="auto"/>
          <w:szCs w:val="24"/>
          <w:highlight w:val="none"/>
          <w:lang w:eastAsia="zh-CN"/>
        </w:rPr>
        <w:t>。</w:t>
      </w:r>
      <w:r>
        <w:rPr>
          <w:rFonts w:hint="default" w:ascii="Times New Roman" w:hAnsi="Times New Roman" w:eastAsia="宋体" w:cs="Times New Roman"/>
          <w:color w:val="auto"/>
          <w:sz w:val="24"/>
          <w:szCs w:val="22"/>
          <w:highlight w:val="none"/>
          <w:lang w:val="zh-CN"/>
        </w:rPr>
        <w:t>印章材质均为防伪铜章，印章深度不得低于60丝，印记清晰无墨点。</w:t>
      </w:r>
    </w:p>
    <w:p w14:paraId="437AFFE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质量标准：</w:t>
      </w:r>
      <w:r>
        <w:rPr>
          <w:rFonts w:hint="eastAsia" w:ascii="宋体" w:hAnsi="宋体" w:cs="宋体"/>
          <w:color w:val="auto"/>
          <w:sz w:val="24"/>
          <w:szCs w:val="24"/>
          <w:highlight w:val="none"/>
          <w:lang w:eastAsia="zh-CN"/>
        </w:rPr>
        <w:t>符合国家及行业相关规定及标准。</w:t>
      </w:r>
    </w:p>
    <w:p w14:paraId="383059A6">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eastAsia="宋体" w:cs="宋体"/>
          <w:b/>
          <w:color w:val="auto"/>
          <w:sz w:val="24"/>
          <w:szCs w:val="24"/>
          <w:highlight w:val="none"/>
          <w:lang w:val="en-US" w:eastAsia="zh-CN"/>
        </w:rPr>
      </w:pPr>
      <w:bookmarkStart w:id="0" w:name="_Toc241833903"/>
      <w:bookmarkStart w:id="1" w:name="_Toc238984975"/>
      <w:bookmarkStart w:id="2" w:name="_Toc212019594"/>
      <w:bookmarkStart w:id="3" w:name="_Toc225670751"/>
      <w:bookmarkStart w:id="4" w:name="_Toc185395249"/>
      <w:bookmarkStart w:id="5" w:name="_Toc286993786"/>
      <w:bookmarkStart w:id="6" w:name="_Toc237145406"/>
      <w:bookmarkStart w:id="7" w:name="_Toc211911348"/>
      <w:bookmarkStart w:id="8" w:name="_Toc232492928"/>
      <w:bookmarkStart w:id="9" w:name="_Toc225244852"/>
      <w:bookmarkStart w:id="10" w:name="_Toc282696226"/>
      <w:bookmarkStart w:id="11" w:name="_Toc239233914"/>
      <w:bookmarkStart w:id="12" w:name="_Toc211854449"/>
      <w:bookmarkStart w:id="13" w:name="_Toc239568418"/>
      <w:bookmarkStart w:id="14" w:name="_Toc247334841"/>
      <w:bookmarkStart w:id="15" w:name="_Toc251768862"/>
      <w:bookmarkStart w:id="16" w:name="_Toc225654644"/>
      <w:bookmarkStart w:id="17" w:name="_Toc283019214"/>
      <w:r>
        <w:rPr>
          <w:rFonts w:hint="eastAsia" w:ascii="宋体" w:hAnsi="宋体" w:eastAsia="宋体" w:cs="宋体"/>
          <w:b/>
          <w:color w:val="auto"/>
          <w:sz w:val="24"/>
          <w:szCs w:val="24"/>
          <w:highlight w:val="none"/>
        </w:rPr>
        <w:t>第</w:t>
      </w:r>
      <w:r>
        <w:rPr>
          <w:rFonts w:hint="eastAsia" w:ascii="宋体" w:hAnsi="宋体" w:cs="宋体"/>
          <w:b/>
          <w:color w:val="auto"/>
          <w:sz w:val="24"/>
          <w:szCs w:val="24"/>
          <w:highlight w:val="none"/>
          <w:lang w:val="en-US" w:eastAsia="zh-CN"/>
        </w:rPr>
        <w:t>二</w:t>
      </w:r>
      <w:r>
        <w:rPr>
          <w:rFonts w:hint="eastAsia" w:ascii="宋体" w:hAnsi="宋体" w:eastAsia="宋体" w:cs="宋体"/>
          <w:b/>
          <w:color w:val="auto"/>
          <w:sz w:val="24"/>
          <w:szCs w:val="24"/>
          <w:highlight w:val="none"/>
        </w:rPr>
        <w:t xml:space="preserve">条  </w:t>
      </w:r>
      <w:r>
        <w:rPr>
          <w:rFonts w:hint="eastAsia" w:ascii="宋体" w:hAnsi="宋体" w:eastAsia="宋体" w:cs="宋体"/>
          <w:b/>
          <w:color w:val="auto"/>
          <w:sz w:val="24"/>
          <w:szCs w:val="24"/>
          <w:highlight w:val="none"/>
          <w:lang w:eastAsia="zh-CN"/>
        </w:rPr>
        <w:t>服务期：</w:t>
      </w:r>
      <w:r>
        <w:rPr>
          <w:rFonts w:hint="eastAsia" w:ascii="宋体" w:hAnsi="宋体" w:eastAsia="宋体" w:cs="宋体"/>
          <w:b/>
          <w:color w:val="auto"/>
          <w:sz w:val="24"/>
          <w:szCs w:val="24"/>
          <w:highlight w:val="none"/>
          <w:u w:val="single"/>
          <w:lang w:val="en-US" w:eastAsia="zh-CN"/>
        </w:rPr>
        <w:t xml:space="preserve">  自合同签订之日起</w:t>
      </w:r>
      <w:r>
        <w:rPr>
          <w:rFonts w:hint="eastAsia" w:ascii="宋体" w:hAnsi="宋体" w:cs="宋体"/>
          <w:b/>
          <w:color w:val="auto"/>
          <w:sz w:val="24"/>
          <w:szCs w:val="24"/>
          <w:highlight w:val="none"/>
          <w:u w:val="single"/>
          <w:lang w:val="en-US" w:eastAsia="zh-CN"/>
        </w:rPr>
        <w:t>1</w:t>
      </w:r>
      <w:r>
        <w:rPr>
          <w:rFonts w:hint="eastAsia" w:ascii="宋体" w:hAnsi="宋体" w:eastAsia="宋体" w:cs="宋体"/>
          <w:b/>
          <w:color w:val="auto"/>
          <w:sz w:val="24"/>
          <w:szCs w:val="24"/>
          <w:highlight w:val="none"/>
          <w:u w:val="single"/>
          <w:lang w:val="en-US" w:eastAsia="zh-CN"/>
        </w:rPr>
        <w:t xml:space="preserve">年  </w:t>
      </w:r>
    </w:p>
    <w:p w14:paraId="1D1A913B">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cs="宋体"/>
          <w:b/>
          <w:color w:val="auto"/>
          <w:sz w:val="24"/>
          <w:szCs w:val="24"/>
          <w:highlight w:val="none"/>
          <w:lang w:val="en-US" w:eastAsia="zh-CN"/>
        </w:rPr>
        <w:t>三</w:t>
      </w:r>
      <w:r>
        <w:rPr>
          <w:rFonts w:hint="eastAsia" w:ascii="宋体" w:hAnsi="宋体" w:eastAsia="宋体" w:cs="宋体"/>
          <w:b/>
          <w:color w:val="auto"/>
          <w:sz w:val="24"/>
          <w:szCs w:val="24"/>
          <w:highlight w:val="none"/>
        </w:rPr>
        <w:t>条  服务费用及支付方式</w:t>
      </w:r>
    </w:p>
    <w:p w14:paraId="05C0B94A">
      <w:pPr>
        <w:pStyle w:val="10"/>
        <w:keepNext w:val="0"/>
        <w:keepLines w:val="0"/>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、合同</w:t>
      </w:r>
      <w:r>
        <w:rPr>
          <w:rFonts w:hint="eastAsia" w:ascii="宋体" w:hAnsi="宋体" w:cs="宋体"/>
          <w:color w:val="auto"/>
          <w:sz w:val="24"/>
          <w:szCs w:val="24"/>
          <w:highlight w:val="none"/>
          <w:lang w:val="en-US" w:eastAsia="zh-CN"/>
        </w:rPr>
        <w:t>形式</w:t>
      </w:r>
      <w:r>
        <w:rPr>
          <w:rFonts w:hint="eastAsia" w:ascii="宋体" w:hAnsi="宋体" w:eastAsia="宋体" w:cs="宋体"/>
          <w:color w:val="auto"/>
          <w:sz w:val="24"/>
          <w:szCs w:val="24"/>
          <w:highlight w:val="none"/>
        </w:rPr>
        <w:t>：固定单价</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lang w:eastAsia="zh-CN"/>
        </w:rPr>
        <w:t>。</w:t>
      </w:r>
    </w:p>
    <w:p w14:paraId="4334CF35">
      <w:pPr>
        <w:pStyle w:val="10"/>
        <w:keepNext w:val="0"/>
        <w:keepLines w:val="0"/>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合同单价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元/套（含</w:t>
      </w:r>
      <w:r>
        <w:rPr>
          <w:rFonts w:hint="eastAsia" w:ascii="宋体" w:hAnsi="宋体" w:eastAsia="宋体" w:cs="宋体"/>
          <w:color w:val="auto"/>
          <w:sz w:val="21"/>
          <w:szCs w:val="21"/>
          <w:highlight w:val="none"/>
          <w:shd w:val="clear" w:color="auto" w:fill="auto"/>
          <w:lang w:val="zh-CN"/>
        </w:rPr>
        <w:t>“单位公章”、“合同专用章”“财务专用章”、“发票专用章”、“法人章”</w:t>
      </w:r>
      <w:r>
        <w:rPr>
          <w:rFonts w:hint="eastAsia" w:ascii="宋体" w:hAnsi="宋体" w:eastAsia="宋体" w:cs="宋体"/>
          <w:color w:val="auto"/>
          <w:sz w:val="24"/>
          <w:szCs w:val="24"/>
          <w:highlight w:val="none"/>
        </w:rPr>
        <w:t>）。</w:t>
      </w:r>
    </w:p>
    <w:p w14:paraId="18763B18">
      <w:pPr>
        <w:pStyle w:val="10"/>
        <w:keepNext w:val="0"/>
        <w:keepLines w:val="0"/>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本合同单价</w:t>
      </w:r>
      <w:r>
        <w:rPr>
          <w:rFonts w:hint="eastAsia" w:ascii="宋体" w:hAnsi="宋体" w:eastAsia="宋体" w:cs="宋体"/>
          <w:color w:val="auto"/>
          <w:sz w:val="24"/>
          <w:szCs w:val="24"/>
          <w:highlight w:val="none"/>
        </w:rPr>
        <w:t>包括但不限于：制作费、材料费、送达交货地点、利润、税金、风险等</w:t>
      </w:r>
      <w:r>
        <w:rPr>
          <w:rFonts w:hint="eastAsia" w:ascii="宋体" w:hAnsi="宋体" w:cs="宋体"/>
          <w:color w:val="auto"/>
          <w:sz w:val="24"/>
          <w:szCs w:val="24"/>
          <w:highlight w:val="none"/>
          <w:lang w:val="en-US" w:eastAsia="zh-CN"/>
        </w:rPr>
        <w:t>费用</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为</w:t>
      </w:r>
      <w:r>
        <w:rPr>
          <w:rFonts w:hint="eastAsia" w:ascii="宋体" w:hAnsi="宋体" w:eastAsia="宋体" w:cs="宋体"/>
          <w:color w:val="auto"/>
          <w:sz w:val="24"/>
          <w:szCs w:val="24"/>
          <w:highlight w:val="none"/>
        </w:rPr>
        <w:t>采购物品准备</w:t>
      </w:r>
      <w:bookmarkStart w:id="52" w:name="_GoBack"/>
      <w:bookmarkEnd w:id="52"/>
      <w:r>
        <w:rPr>
          <w:rFonts w:hint="eastAsia" w:ascii="宋体" w:hAnsi="宋体" w:eastAsia="宋体" w:cs="宋体"/>
          <w:color w:val="auto"/>
          <w:sz w:val="24"/>
          <w:szCs w:val="24"/>
          <w:highlight w:val="none"/>
        </w:rPr>
        <w:t>阶段、实施阶段、成果交付验收等所需的全部费用。甲方不再另付任何费用。</w:t>
      </w:r>
    </w:p>
    <w:p w14:paraId="0AF64E09">
      <w:pPr>
        <w:pStyle w:val="10"/>
        <w:keepNext w:val="0"/>
        <w:keepLines w:val="0"/>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3、合同单价一次包死，不受市场价变化的影响。</w:t>
      </w:r>
    </w:p>
    <w:p w14:paraId="63BAC3F5">
      <w:pPr>
        <w:pStyle w:val="10"/>
        <w:keepNext w:val="0"/>
        <w:keepLines w:val="0"/>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、付款方式：每季</w:t>
      </w:r>
      <w:r>
        <w:rPr>
          <w:rFonts w:hint="eastAsia" w:ascii="宋体" w:hAnsi="宋体" w:cs="宋体"/>
          <w:color w:val="auto"/>
          <w:sz w:val="24"/>
          <w:szCs w:val="24"/>
          <w:highlight w:val="none"/>
          <w:lang w:val="en-US" w:eastAsia="zh-CN"/>
        </w:rPr>
        <w:t>度</w:t>
      </w:r>
      <w:r>
        <w:rPr>
          <w:rFonts w:hint="eastAsia" w:ascii="宋体" w:hAnsi="宋体" w:eastAsia="宋体" w:cs="宋体"/>
          <w:color w:val="auto"/>
          <w:sz w:val="24"/>
          <w:szCs w:val="24"/>
          <w:highlight w:val="none"/>
        </w:rPr>
        <w:t>结束后十个工作日内根据实际发生印章刻制费用总价据实结算。</w:t>
      </w:r>
    </w:p>
    <w:p w14:paraId="47FE8BBF">
      <w:pPr>
        <w:pStyle w:val="10"/>
        <w:keepNext w:val="0"/>
        <w:keepLines w:val="0"/>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、乙方须向甲方出具</w:t>
      </w:r>
      <w:r>
        <w:rPr>
          <w:rFonts w:hint="eastAsia" w:ascii="宋体" w:hAnsi="宋体" w:cs="宋体"/>
          <w:color w:val="auto"/>
          <w:sz w:val="24"/>
          <w:szCs w:val="24"/>
          <w:highlight w:val="none"/>
          <w:lang w:val="en-US" w:eastAsia="zh-CN"/>
        </w:rPr>
        <w:t>与结算价等额的</w:t>
      </w:r>
      <w:r>
        <w:rPr>
          <w:rFonts w:hint="eastAsia" w:ascii="宋体" w:hAnsi="宋体" w:eastAsia="宋体" w:cs="宋体"/>
          <w:color w:val="auto"/>
          <w:sz w:val="24"/>
          <w:szCs w:val="24"/>
          <w:highlight w:val="none"/>
        </w:rPr>
        <w:t>合法有效的完税发票（附清单），</w:t>
      </w:r>
      <w:r>
        <w:rPr>
          <w:rFonts w:hint="eastAsia" w:ascii="宋体" w:hAnsi="宋体" w:cs="宋体"/>
          <w:color w:val="auto"/>
          <w:sz w:val="24"/>
          <w:szCs w:val="24"/>
          <w:highlight w:val="none"/>
          <w:lang w:val="en-US" w:eastAsia="zh-CN"/>
        </w:rPr>
        <w:t>发票确认无误后，</w:t>
      </w:r>
      <w:r>
        <w:rPr>
          <w:rFonts w:hint="eastAsia" w:ascii="宋体" w:hAnsi="宋体" w:eastAsia="宋体" w:cs="宋体"/>
          <w:color w:val="auto"/>
          <w:sz w:val="24"/>
          <w:szCs w:val="24"/>
          <w:highlight w:val="none"/>
        </w:rPr>
        <w:t>甲方进行支付结算。</w:t>
      </w:r>
    </w:p>
    <w:p w14:paraId="447D972C">
      <w:pPr>
        <w:pStyle w:val="10"/>
        <w:keepNext w:val="0"/>
        <w:keepLines w:val="0"/>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、结算方式：银行转账。</w:t>
      </w:r>
    </w:p>
    <w:p w14:paraId="17758874">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cs="宋体"/>
          <w:b/>
          <w:color w:val="auto"/>
          <w:sz w:val="24"/>
          <w:szCs w:val="24"/>
          <w:highlight w:val="none"/>
          <w:lang w:val="en-US" w:eastAsia="zh-CN"/>
        </w:rPr>
        <w:t>四</w:t>
      </w:r>
      <w:r>
        <w:rPr>
          <w:rFonts w:hint="eastAsia" w:ascii="宋体" w:hAnsi="宋体" w:eastAsia="宋体" w:cs="宋体"/>
          <w:b/>
          <w:color w:val="auto"/>
          <w:sz w:val="24"/>
          <w:szCs w:val="24"/>
          <w:highlight w:val="none"/>
        </w:rPr>
        <w:t>条  知识产权</w:t>
      </w:r>
    </w:p>
    <w:p w14:paraId="551ED6FE">
      <w:pPr>
        <w:keepNext w:val="0"/>
        <w:keepLines w:val="0"/>
        <w:pageBreakBefore w:val="0"/>
        <w:tabs>
          <w:tab w:val="left" w:pos="144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7C08203">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条 无产权瑕疵条款</w:t>
      </w:r>
    </w:p>
    <w:p w14:paraId="2ED9F65C">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76EF2C5D">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 xml:space="preserve">条 </w:t>
      </w: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甲方的权利和义务</w:t>
      </w:r>
    </w:p>
    <w:p w14:paraId="429B2161">
      <w:pPr>
        <w:pStyle w:val="6"/>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甲方有权对乙方的服务行为进行监督和检查，拥有监管权。有权定期核对乙方提供服务所配备的人员数量。对甲方认为不合理的部分有权下达整改通知书，并要求乙方限期整改。</w:t>
      </w:r>
    </w:p>
    <w:p w14:paraId="03A22063">
      <w:pPr>
        <w:pStyle w:val="6"/>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在服务期内，甲方有权根据服务需求对乙方的服务范围进行调整，并且不承担乙方由此产生的各项费用或成本。</w:t>
      </w:r>
    </w:p>
    <w:p w14:paraId="0813B772">
      <w:pPr>
        <w:pStyle w:val="6"/>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负责检查监督乙方管理工作的实施及制度的执行情况。</w:t>
      </w:r>
    </w:p>
    <w:p w14:paraId="116CAE3C">
      <w:pPr>
        <w:pStyle w:val="6"/>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接受用户对乙方违反本协议规定行为的投诉。如投诉情况属实，通知乙方及时纠正。</w:t>
      </w:r>
    </w:p>
    <w:p w14:paraId="3FE12331">
      <w:pPr>
        <w:pStyle w:val="6"/>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根据本协议规定，按时向乙方支付应付服务费用。</w:t>
      </w:r>
    </w:p>
    <w:p w14:paraId="0FE99562">
      <w:pPr>
        <w:pStyle w:val="6"/>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国家法律、法规所规定由甲方承担的其它责任。</w:t>
      </w:r>
    </w:p>
    <w:p w14:paraId="5CE630C0">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条  乙方的权利和义务</w:t>
      </w:r>
    </w:p>
    <w:p w14:paraId="2FC10AAF">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1、对本协议规定的委托服务范围内的项目享有管理权及服务义务。</w:t>
      </w:r>
    </w:p>
    <w:p w14:paraId="391ADC7C">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2、根据本协议的规定向甲方收取相关服务费用，并有权在本项目管理范围内管理及合理使用。</w:t>
      </w:r>
    </w:p>
    <w:p w14:paraId="790ACD37">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684C425B">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4、接受项目行业管理部门及政府有关部门的指导，接受甲方的监督。</w:t>
      </w:r>
    </w:p>
    <w:p w14:paraId="1AD3389A">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5、国家法律、法规所规定由乙方承担的其它责任。</w:t>
      </w:r>
    </w:p>
    <w:p w14:paraId="1966A36D">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条  违约责任</w:t>
      </w:r>
    </w:p>
    <w:p w14:paraId="7B9E1BAD">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1、甲乙双方必须遵守本协议并执行协议中的各项规定，保证本协议的正常履行。</w:t>
      </w:r>
    </w:p>
    <w:p w14:paraId="1047EE16">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责任。</w:t>
      </w:r>
    </w:p>
    <w:p w14:paraId="70E5B6D5">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3、乙方未能按投标规定的交货时间提供服务,从逾期之日起每日按本协议总价3%的数额向甲方支付违约金;逾期半个月以上的,甲方有权终止协议,由此造成的甲方经济损失由乙方承担。</w:t>
      </w:r>
    </w:p>
    <w:p w14:paraId="6D7EB1EE">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rPr>
        <w:t>条  不可抗力事件处理</w:t>
      </w:r>
    </w:p>
    <w:p w14:paraId="1B56FC7F">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1、在协议有效期内，任何一方因不可抗力事件导致不能履行协议，则协议履行期可延长，其延长期与不可抗力影响期相同。</w:t>
      </w:r>
    </w:p>
    <w:p w14:paraId="1A657FE7">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2、不可抗力事件发生后，应立即通知对方，并寄送有关权威机构出具的证明。</w:t>
      </w:r>
    </w:p>
    <w:p w14:paraId="6F18B68E">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3、不可抗力事件延续</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天以上，双方应通过友好协商，确定是否继续履行协议。</w:t>
      </w:r>
    </w:p>
    <w:p w14:paraId="4C530C6A">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bookmarkStart w:id="18" w:name="_Toc225654649"/>
      <w:bookmarkStart w:id="19" w:name="_Toc232492933"/>
      <w:bookmarkStart w:id="20" w:name="_Toc185395254"/>
      <w:bookmarkStart w:id="21" w:name="_Toc237145411"/>
      <w:bookmarkStart w:id="22" w:name="_Toc212019599"/>
      <w:bookmarkStart w:id="23" w:name="_Toc251768867"/>
      <w:bookmarkStart w:id="24" w:name="_Toc239568423"/>
      <w:bookmarkStart w:id="25" w:name="_Toc286993792"/>
      <w:bookmarkStart w:id="26" w:name="_Toc239233919"/>
      <w:bookmarkStart w:id="27" w:name="_Toc241833908"/>
      <w:bookmarkStart w:id="28" w:name="_Toc225670756"/>
      <w:bookmarkStart w:id="29" w:name="_Toc211854454"/>
      <w:bookmarkStart w:id="30" w:name="_Toc238984980"/>
      <w:bookmarkStart w:id="31" w:name="_Toc211911353"/>
      <w:bookmarkStart w:id="32" w:name="_Toc225244857"/>
      <w:bookmarkStart w:id="33" w:name="_Toc247334846"/>
      <w:r>
        <w:rPr>
          <w:rFonts w:hint="eastAsia" w:ascii="宋体" w:hAnsi="宋体" w:eastAsia="宋体" w:cs="宋体"/>
          <w:b/>
          <w:bCs/>
          <w:color w:val="auto"/>
          <w:sz w:val="24"/>
          <w:szCs w:val="24"/>
          <w:highlight w:val="none"/>
        </w:rPr>
        <w:t xml:space="preserve"> 第十条  协议的变更和终止</w:t>
      </w:r>
    </w:p>
    <w:p w14:paraId="6F73177C">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经证实，乙方发生下列各方面情况的，甲方有权取消其资格终止协议。</w:t>
      </w:r>
    </w:p>
    <w:p w14:paraId="532DE64A">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1.资格（质）方面存在问题的：</w:t>
      </w:r>
    </w:p>
    <w:p w14:paraId="4C0DA1B3">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（1）乙方的相关资格（质）被授予机关降级或取消的；</w:t>
      </w:r>
    </w:p>
    <w:p w14:paraId="3CB483E5">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（2）乙方有隐瞒不报的不良记录，或提供的资质证明材料严重失实的。</w:t>
      </w:r>
    </w:p>
    <w:p w14:paraId="2DBCC037">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2.在实施采购过程中有下列行为的：</w:t>
      </w:r>
    </w:p>
    <w:p w14:paraId="1ECD9178">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（1）在为甲方提供产品及/或服务过程中因故意或过失，致使采购结果不符合采购文件要求，或因泄漏秘密或业务资料给甲方造成损害的；</w:t>
      </w:r>
    </w:p>
    <w:p w14:paraId="0A9B1371">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（2）将甲方所购产品/服务转包第三方；</w:t>
      </w:r>
    </w:p>
    <w:p w14:paraId="321AC80E">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（3）在合作有效期内，甲方累计收到三次来自使用单位对乙方产品质量、服务质量等方面的书面有效投诉；</w:t>
      </w:r>
    </w:p>
    <w:p w14:paraId="03F35016">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（4）提供产品及服务过程中有违规操作的；</w:t>
      </w:r>
    </w:p>
    <w:p w14:paraId="2CF3FA77">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（5）在提供产品及服务过程中因故意或过失，致使甲方信誉等方面蒙受损失或引起社会较大影响的。</w:t>
      </w:r>
    </w:p>
    <w:p w14:paraId="246F2642">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w:t>
      </w:r>
      <w:r>
        <w:rPr>
          <w:rFonts w:hint="eastAsia" w:ascii="宋体"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条  解决协议纠纷的方式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232853B">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1、在执行本协议中发生的或与本协议有关的争端，双方应通过友好协商解决，经协商在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天内不能达成协议时，则采取以下第2种方式解决争议：</w:t>
      </w:r>
    </w:p>
    <w:p w14:paraId="5968A925">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（1）向甲方所在地有管辖权的人民法院提起诉讼；</w:t>
      </w:r>
    </w:p>
    <w:p w14:paraId="6EA12207">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仲裁委员会按其仲裁规则申请仲裁。</w:t>
      </w:r>
    </w:p>
    <w:p w14:paraId="677561E8">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2、在仲裁期间，本协议应继续履行。</w:t>
      </w:r>
    </w:p>
    <w:p w14:paraId="5879B7F2">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bookmarkStart w:id="34" w:name="_Toc211911354"/>
      <w:bookmarkStart w:id="35" w:name="_Toc211854455"/>
      <w:bookmarkStart w:id="36" w:name="_Toc225654650"/>
      <w:bookmarkStart w:id="37" w:name="_Toc239568424"/>
      <w:bookmarkStart w:id="38" w:name="_Toc225670757"/>
      <w:bookmarkStart w:id="39" w:name="_Toc283019219"/>
      <w:bookmarkStart w:id="40" w:name="_Toc232492934"/>
      <w:bookmarkStart w:id="41" w:name="_Toc286993793"/>
      <w:bookmarkStart w:id="42" w:name="_Toc251768868"/>
      <w:bookmarkStart w:id="43" w:name="_Toc237145412"/>
      <w:bookmarkStart w:id="44" w:name="_Toc239233920"/>
      <w:bookmarkStart w:id="45" w:name="_Toc238984981"/>
      <w:bookmarkStart w:id="46" w:name="_Toc241833909"/>
      <w:bookmarkStart w:id="47" w:name="_Toc212019600"/>
      <w:bookmarkStart w:id="48" w:name="_Toc225244858"/>
      <w:bookmarkStart w:id="49" w:name="_Toc247334847"/>
      <w:bookmarkStart w:id="50" w:name="_Toc282696231"/>
      <w:bookmarkStart w:id="51" w:name="_Toc185395255"/>
      <w:r>
        <w:rPr>
          <w:rFonts w:hint="eastAsia" w:ascii="宋体" w:hAnsi="宋体" w:eastAsia="宋体" w:cs="宋体"/>
          <w:b/>
          <w:bCs/>
          <w:color w:val="auto"/>
          <w:sz w:val="24"/>
          <w:szCs w:val="24"/>
          <w:highlight w:val="none"/>
        </w:rPr>
        <w:t>第十</w:t>
      </w: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 xml:space="preserve">条  </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bCs/>
          <w:color w:val="auto"/>
          <w:sz w:val="24"/>
          <w:szCs w:val="24"/>
          <w:highlight w:val="none"/>
        </w:rPr>
        <w:t>协议生效及其他</w:t>
      </w:r>
    </w:p>
    <w:p w14:paraId="66B504DA">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1、协议经双方法定代表人或授权委托代理人签字并加盖单位公章后生效。</w:t>
      </w:r>
    </w:p>
    <w:p w14:paraId="47963F06">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2、协议执行中涉及采购资金和采购内容修改或补充的，须经政府采购监管部门审批，并签书面补充协议报政府采购监督管理部门备案，方可作为主协议不可分割的一部分。</w:t>
      </w:r>
    </w:p>
    <w:p w14:paraId="01FC90D6">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3、本协议一式陆份，自双方签章之日起起效。甲方</w:t>
      </w:r>
      <w:r>
        <w:rPr>
          <w:rFonts w:hint="eastAsia" w:ascii="宋体" w:hAnsi="宋体" w:eastAsia="宋体" w:cs="宋体"/>
          <w:color w:val="auto"/>
          <w:sz w:val="24"/>
          <w:szCs w:val="24"/>
          <w:highlight w:val="none"/>
          <w:lang w:val="en-US" w:eastAsia="zh-CN"/>
        </w:rPr>
        <w:t>叁</w:t>
      </w:r>
      <w:r>
        <w:rPr>
          <w:rFonts w:hint="eastAsia" w:ascii="宋体" w:hAnsi="宋体" w:eastAsia="宋体" w:cs="宋体"/>
          <w:color w:val="auto"/>
          <w:sz w:val="24"/>
          <w:szCs w:val="24"/>
          <w:highlight w:val="none"/>
        </w:rPr>
        <w:t>份，乙方</w:t>
      </w:r>
      <w:r>
        <w:rPr>
          <w:rFonts w:hint="eastAsia" w:ascii="宋体" w:hAnsi="宋体" w:eastAsia="宋体" w:cs="宋体"/>
          <w:color w:val="auto"/>
          <w:sz w:val="24"/>
          <w:szCs w:val="24"/>
          <w:highlight w:val="none"/>
          <w:lang w:val="en-US" w:eastAsia="zh-CN"/>
        </w:rPr>
        <w:t>叁</w:t>
      </w:r>
      <w:r>
        <w:rPr>
          <w:rFonts w:hint="eastAsia" w:ascii="宋体" w:hAnsi="宋体" w:eastAsia="宋体" w:cs="宋体"/>
          <w:color w:val="auto"/>
          <w:sz w:val="24"/>
          <w:szCs w:val="24"/>
          <w:highlight w:val="none"/>
        </w:rPr>
        <w:t>份，具有同等法律效力。</w:t>
      </w:r>
    </w:p>
    <w:p w14:paraId="31E9B5BC">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w:t>
      </w: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条  附件</w:t>
      </w:r>
    </w:p>
    <w:p w14:paraId="4C894EAD">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1、项目招标文件</w:t>
      </w:r>
    </w:p>
    <w:p w14:paraId="518F92AC">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2、项目修改澄清文件</w:t>
      </w:r>
    </w:p>
    <w:p w14:paraId="4B353EEF">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3、项目投标文件</w:t>
      </w:r>
    </w:p>
    <w:p w14:paraId="69A9190A">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4、中标通知书</w:t>
      </w:r>
    </w:p>
    <w:p w14:paraId="14FC541C">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szCs w:val="24"/>
          <w:highlight w:val="none"/>
        </w:rPr>
      </w:pPr>
      <w:r>
        <w:rPr>
          <w:rFonts w:hint="eastAsia" w:ascii="宋体" w:hAnsi="宋体" w:eastAsia="宋体" w:cs="宋体"/>
          <w:color w:val="auto"/>
          <w:sz w:val="24"/>
          <w:szCs w:val="24"/>
          <w:highlight w:val="none"/>
        </w:rPr>
        <w:t>5、其他</w:t>
      </w:r>
    </w:p>
    <w:tbl>
      <w:tblPr>
        <w:tblStyle w:val="7"/>
        <w:tblW w:w="0" w:type="auto"/>
        <w:tblInd w:w="108" w:type="dxa"/>
        <w:tblLayout w:type="fixed"/>
        <w:tblCellMar>
          <w:top w:w="0" w:type="dxa"/>
          <w:left w:w="108" w:type="dxa"/>
          <w:bottom w:w="0" w:type="dxa"/>
          <w:right w:w="108" w:type="dxa"/>
        </w:tblCellMar>
      </w:tblPr>
      <w:tblGrid>
        <w:gridCol w:w="5126"/>
        <w:gridCol w:w="4280"/>
      </w:tblGrid>
      <w:tr w14:paraId="7CF6FA84">
        <w:trPr>
          <w:cantSplit/>
          <w:trHeight w:val="2608" w:hRule="atLeast"/>
        </w:trPr>
        <w:tc>
          <w:tcPr>
            <w:tcW w:w="5126" w:type="dxa"/>
            <w:noWrap w:val="0"/>
            <w:vAlign w:val="top"/>
          </w:tcPr>
          <w:p w14:paraId="71E7A388">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甲方（盖章）</w:t>
            </w:r>
          </w:p>
          <w:p w14:paraId="331EB32F">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授权代表（签字）：</w:t>
            </w:r>
          </w:p>
          <w:p w14:paraId="2DBC970D">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联系电话：</w:t>
            </w:r>
          </w:p>
          <w:p w14:paraId="21D7BD0B">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单位地址：</w:t>
            </w:r>
          </w:p>
          <w:p w14:paraId="17FEABE4">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签订时间：</w:t>
            </w:r>
          </w:p>
        </w:tc>
        <w:tc>
          <w:tcPr>
            <w:tcW w:w="4280" w:type="dxa"/>
            <w:noWrap w:val="0"/>
            <w:vAlign w:val="top"/>
          </w:tcPr>
          <w:p w14:paraId="0BAF4F46">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乙方（盖章）</w:t>
            </w:r>
          </w:p>
          <w:p w14:paraId="1226AA96">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授权代表（签字）：</w:t>
            </w:r>
          </w:p>
          <w:p w14:paraId="746E9AA1">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联系电话：</w:t>
            </w:r>
          </w:p>
          <w:p w14:paraId="5DE9AA86">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单位地址：</w:t>
            </w:r>
          </w:p>
          <w:p w14:paraId="0EFDA03C">
            <w:pPr>
              <w:spacing w:before="120" w:line="600" w:lineRule="exact"/>
              <w:rPr>
                <w:rFonts w:hint="eastAsia" w:ascii="宋体" w:hAnsi="宋体" w:cs="宋体"/>
                <w:color w:val="auto"/>
                <w:szCs w:val="24"/>
                <w:highlight w:val="none"/>
              </w:rPr>
            </w:pPr>
            <w:r>
              <w:rPr>
                <w:rFonts w:hint="eastAsia" w:ascii="宋体" w:hAnsi="宋体" w:cs="宋体"/>
                <w:color w:val="auto"/>
                <w:szCs w:val="24"/>
                <w:highlight w:val="none"/>
              </w:rPr>
              <w:t>开户银行：</w:t>
            </w:r>
          </w:p>
          <w:p w14:paraId="4C46A66D">
            <w:pPr>
              <w:spacing w:before="120" w:line="600" w:lineRule="exact"/>
              <w:jc w:val="left"/>
              <w:rPr>
                <w:rFonts w:hint="eastAsia" w:ascii="宋体" w:hAnsi="宋体" w:cs="宋体"/>
                <w:color w:val="auto"/>
                <w:szCs w:val="24"/>
                <w:highlight w:val="none"/>
              </w:rPr>
            </w:pPr>
            <w:r>
              <w:rPr>
                <w:rFonts w:hint="eastAsia" w:ascii="宋体" w:hAnsi="宋体" w:cs="宋体"/>
                <w:color w:val="auto"/>
                <w:szCs w:val="24"/>
                <w:highlight w:val="none"/>
              </w:rPr>
              <w:t>账    号：</w:t>
            </w:r>
          </w:p>
          <w:p w14:paraId="6859A8D9">
            <w:pPr>
              <w:spacing w:before="120" w:line="600" w:lineRule="exact"/>
              <w:jc w:val="left"/>
              <w:rPr>
                <w:rFonts w:hint="eastAsia" w:ascii="宋体" w:hAnsi="宋体" w:cs="宋体"/>
                <w:color w:val="auto"/>
                <w:szCs w:val="24"/>
                <w:highlight w:val="none"/>
              </w:rPr>
            </w:pPr>
            <w:r>
              <w:rPr>
                <w:rFonts w:hint="eastAsia" w:ascii="宋体" w:hAnsi="宋体" w:cs="宋体"/>
                <w:color w:val="auto"/>
                <w:szCs w:val="24"/>
                <w:highlight w:val="none"/>
              </w:rPr>
              <w:t>签订时间：</w:t>
            </w:r>
          </w:p>
          <w:p w14:paraId="26AE5A26">
            <w:pPr>
              <w:spacing w:before="120" w:line="600" w:lineRule="exact"/>
              <w:jc w:val="left"/>
              <w:rPr>
                <w:rFonts w:hint="eastAsia" w:ascii="宋体" w:hAnsi="宋体" w:cs="宋体"/>
                <w:color w:val="auto"/>
                <w:szCs w:val="24"/>
                <w:highlight w:val="none"/>
              </w:rPr>
            </w:pPr>
          </w:p>
        </w:tc>
      </w:tr>
    </w:tbl>
    <w:p w14:paraId="1D9D6248">
      <w:pPr>
        <w:rPr>
          <w:rFonts w:hint="eastAsia"/>
          <w:lang w:val="en-US" w:eastAsia="zh-CN"/>
        </w:rPr>
      </w:pPr>
      <w:r>
        <w:rPr>
          <w:rFonts w:hint="eastAsia" w:ascii="宋体" w:hAnsi="宋体" w:cs="宋体"/>
          <w:color w:val="auto"/>
          <w:szCs w:val="24"/>
          <w:highlight w:val="none"/>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3225E"/>
    <w:multiLevelType w:val="singleLevel"/>
    <w:tmpl w:val="8BC3225E"/>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A200D"/>
    <w:rsid w:val="15743BA4"/>
    <w:rsid w:val="17471A7B"/>
    <w:rsid w:val="1A627611"/>
    <w:rsid w:val="1E2C5EDE"/>
    <w:rsid w:val="203E1903"/>
    <w:rsid w:val="29580305"/>
    <w:rsid w:val="2B7426C9"/>
    <w:rsid w:val="316D3DF6"/>
    <w:rsid w:val="3ECF523A"/>
    <w:rsid w:val="3F176C02"/>
    <w:rsid w:val="42C27D1A"/>
    <w:rsid w:val="46A22E07"/>
    <w:rsid w:val="5E606C00"/>
    <w:rsid w:val="69540E1C"/>
    <w:rsid w:val="6F7A182B"/>
    <w:rsid w:val="74C41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ascii="仿宋_GB2312" w:hAnsi="Times New Roman" w:eastAsia="仿宋_GB2312" w:cs="仿宋_GB2312"/>
    </w:rPr>
  </w:style>
  <w:style w:type="paragraph" w:styleId="3">
    <w:name w:val="toc 4"/>
    <w:basedOn w:val="1"/>
    <w:next w:val="1"/>
    <w:qFormat/>
    <w:uiPriority w:val="0"/>
    <w:pPr>
      <w:ind w:left="630"/>
      <w:jc w:val="left"/>
    </w:pPr>
    <w:rPr>
      <w:sz w:val="18"/>
      <w:szCs w:val="18"/>
    </w:rPr>
  </w:style>
  <w:style w:type="paragraph" w:styleId="4">
    <w:name w:val="Body Text"/>
    <w:basedOn w:val="1"/>
    <w:next w:val="1"/>
    <w:unhideWhenUsed/>
    <w:qFormat/>
    <w:uiPriority w:val="1"/>
    <w:pPr>
      <w:spacing w:after="120"/>
    </w:pPr>
  </w:style>
  <w:style w:type="paragraph" w:styleId="5">
    <w:name w:val="Plain Text"/>
    <w:basedOn w:val="1"/>
    <w:unhideWhenUsed/>
    <w:qFormat/>
    <w:uiPriority w:val="99"/>
    <w:pPr>
      <w:spacing w:line="324" w:lineRule="auto"/>
    </w:pPr>
    <w:rPr>
      <w:rFonts w:ascii="宋体" w:hAnsi="Courier New" w:cs="Courier New"/>
      <w:szCs w:val="21"/>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Hyperlink"/>
    <w:basedOn w:val="8"/>
    <w:unhideWhenUsed/>
    <w:qFormat/>
    <w:uiPriority w:val="99"/>
    <w:rPr>
      <w:rFonts w:hint="eastAsia" w:ascii="宋体" w:hAnsi="宋体" w:eastAsia="宋体" w:cs="宋体"/>
      <w:color w:val="000000"/>
      <w:sz w:val="18"/>
      <w:szCs w:val="18"/>
      <w:u w:val="none"/>
    </w:rPr>
  </w:style>
  <w:style w:type="paragraph" w:customStyle="1" w:styleId="10">
    <w:name w:val="样式 首行缩进:  2 字符"/>
    <w:basedOn w:val="1"/>
    <w:qFormat/>
    <w:uiPriority w:val="0"/>
    <w:pPr>
      <w:spacing w:line="400" w:lineRule="exact"/>
      <w:ind w:firstLine="200" w:firstLineChars="200"/>
    </w:pPr>
    <w:rPr>
      <w:rFonts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2265</Words>
  <Characters>2272</Characters>
  <Lines>0</Lines>
  <Paragraphs>0</Paragraphs>
  <TotalTime>8</TotalTime>
  <ScaleCrop>false</ScaleCrop>
  <LinksUpToDate>false</LinksUpToDate>
  <CharactersWithSpaces>2454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2025-06-24T06:16:00Z</dcterms:created>
  <dc:creator>Administrator</dc:creator>
  <cp:lastModifiedBy>小慧</cp:lastModifiedBy>
  <cp:lastPrinted>2025-07-08T02:03:00Z</cp:lastPrinted>
  <dcterms:modified xsi:type="dcterms:W3CDTF">2025-07-09T09:07:15Z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eyJoZGlkIjoiNzkxNjMyOGIwOWJmYjM5N2ZhNGFkNDk0MjhiMjFjZDciLCJ1c2VySWQiOiIyNTE3MDUwNjMifQ==</vt:lpwstr>
  </property>
  <property fmtid="{D5CDD505-2E9C-101B-9397-08002B2CF9AE}" pid="4" name="ICV">
    <vt:lpwstr>A2926DE3BB3E4366B74EF19B6F4990C8_13</vt:lpwstr>
  </property>
</Properties>
</file>