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0CEB4A">
      <w:pPr>
        <w:numPr>
          <w:ilvl w:val="0"/>
          <w:numId w:val="0"/>
        </w:numPr>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资格证明文件</w:t>
      </w:r>
    </w:p>
    <w:p w14:paraId="3710877F">
      <w:pPr>
        <w:numPr>
          <w:ilvl w:val="0"/>
          <w:numId w:val="0"/>
        </w:numPr>
        <w:rPr>
          <w:rFonts w:hint="eastAsia" w:ascii="宋体" w:hAnsi="宋体" w:eastAsia="宋体" w:cs="宋体"/>
          <w:sz w:val="21"/>
          <w:szCs w:val="21"/>
          <w:highlight w:val="none"/>
        </w:rPr>
      </w:pPr>
    </w:p>
    <w:p w14:paraId="537462E6">
      <w:pPr>
        <w:numPr>
          <w:ilvl w:val="0"/>
          <w:numId w:val="0"/>
        </w:num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供应商须具有独立承担民事责任能力的法人、其他组织或自然人，提供营业执照/事业单位法人证书/非企业专业服务机构执业许可证/自然人身份证；</w:t>
      </w:r>
    </w:p>
    <w:p w14:paraId="6D37A1DF">
      <w:pPr>
        <w:numPr>
          <w:ilvl w:val="0"/>
          <w:numId w:val="0"/>
        </w:num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定代表人委托授权书及被授权人身份证原件（法定代表人参加投标的只需提供法定代表人身份证）；</w:t>
      </w:r>
    </w:p>
    <w:p w14:paraId="4DEF2E15">
      <w:pPr>
        <w:numPr>
          <w:ilvl w:val="0"/>
          <w:numId w:val="0"/>
        </w:num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财务状况报告</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提供 2023 年度或 2024 年度投标人的财务报告或开标前六个月内其基本账户银行出具的资信证明；</w:t>
      </w:r>
    </w:p>
    <w:p w14:paraId="646AAEF6">
      <w:pPr>
        <w:numPr>
          <w:ilvl w:val="0"/>
          <w:numId w:val="0"/>
        </w:num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税收缴纳证明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供应商需提供投标截至日期前6个月内任意一个月的完税凭证或税务机关开具的完税证明（任意税种）；依法免税的应提供相关文件证明；</w:t>
      </w:r>
    </w:p>
    <w:p w14:paraId="2B87D995">
      <w:pPr>
        <w:numPr>
          <w:ilvl w:val="0"/>
          <w:numId w:val="0"/>
        </w:num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社会保障资金缴纳证明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供应商需提供投标截止日期前6个月内任意一个月的社会保障资金缴存单据或社保机构开具的社会保险参保缴费情况证明；依法不需要缴纳社会保障资金的应提供相关文件证明；</w:t>
      </w:r>
    </w:p>
    <w:p w14:paraId="459FCC91">
      <w:pPr>
        <w:numPr>
          <w:ilvl w:val="0"/>
          <w:numId w:val="0"/>
        </w:num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供应商须提供公安部门颁发的关于印章刻制方面的《特种行业许可证》；</w:t>
      </w:r>
    </w:p>
    <w:p w14:paraId="05C43008">
      <w:pPr>
        <w:numPr>
          <w:ilvl w:val="0"/>
          <w:numId w:val="0"/>
        </w:num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出具参加政府采购活动前三年内在经营活动中没有重大违法记录的书面声明；</w:t>
      </w:r>
    </w:p>
    <w:p w14:paraId="650614C5">
      <w:pPr>
        <w:numPr>
          <w:ilvl w:val="0"/>
          <w:numId w:val="0"/>
        </w:num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供应商应在投标截止日前未被列入失信被执行人、重大税收违法失信主体名单、政府采购严重违法失信行为记录名单（处罚期限届满的除外）（以“信用中国”网站 （www.creditchina.gov.cn）、中国政府采购网（www.ccgp.gov.cn）查询结果为准，提供网站截图并加盖供应商公章）；</w:t>
      </w:r>
    </w:p>
    <w:p w14:paraId="4BBE889F">
      <w:pPr>
        <w:numPr>
          <w:ilvl w:val="0"/>
          <w:numId w:val="0"/>
        </w:num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9）本项目不接受联合体投标。</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D06DB2"/>
    <w:rsid w:val="68155DBE"/>
    <w:rsid w:val="70AE7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534</Words>
  <Characters>576</Characters>
  <Lines>0</Lines>
  <Paragraphs>0</Paragraphs>
  <TotalTime>0</TotalTime>
  <ScaleCrop>false</ScaleCrop>
  <LinksUpToDate>false</LinksUpToDate>
  <CharactersWithSpaces>581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2025-07-09T03:18:00Z</dcterms:created>
  <dc:creator>Administrator</dc:creator>
  <cp:lastModifiedBy>小慧</cp:lastModifiedBy>
  <dcterms:modified xsi:type="dcterms:W3CDTF">2025-07-09T03:37:19Z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eyJoZGlkIjoiNzkxNjMyOGIwOWJmYjM5N2ZhNGFkNDk0MjhiMjFjZDciLCJ1c2VySWQiOiIyNTE3MDUwNjMifQ==</vt:lpwstr>
  </property>
  <property fmtid="{D5CDD505-2E9C-101B-9397-08002B2CF9AE}" pid="4" name="ICV">
    <vt:lpwstr>E3EC933B1FA6447AACC85D53C112579C_12</vt:lpwstr>
  </property>
</Properties>
</file>