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版本号：QCZB-2025--01520250722001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周至县楼观镇肖里村、就峪村供水保障工程(二次)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QCZB-2025--015</w:t>
      </w:r>
      <w:r>
        <w:br/>
      </w:r>
      <w:r>
        <w:br/>
      </w:r>
      <w:r>
        <w:br/>
      </w:r>
    </w:p>
    <w:p>
      <w:pPr>
        <w:pStyle w:val="null3"/>
        <w:jc w:val="center"/>
        <w:outlineLvl w:val="2"/>
      </w:pPr>
      <w:r>
        <w:rPr>
          <w:rFonts w:ascii="仿宋_GB2312" w:hAnsi="仿宋_GB2312" w:cs="仿宋_GB2312" w:eastAsia="仿宋_GB2312"/>
          <w:sz w:val="28"/>
          <w:b/>
        </w:rPr>
        <w:t>西安市周至县人畜安全饮水管理中心</w:t>
      </w:r>
    </w:p>
    <w:p>
      <w:pPr>
        <w:pStyle w:val="null3"/>
        <w:jc w:val="center"/>
        <w:outlineLvl w:val="2"/>
      </w:pPr>
      <w:r>
        <w:rPr>
          <w:rFonts w:ascii="仿宋_GB2312" w:hAnsi="仿宋_GB2312" w:cs="仿宋_GB2312" w:eastAsia="仿宋_GB2312"/>
          <w:sz w:val="28"/>
          <w:b/>
        </w:rPr>
        <w:t>陕西乾畅工程项目管理有限公司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陕西乾畅工程项目管理有限公司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西安市周至县人畜安全饮水管理中心</w:t>
      </w:r>
      <w:r>
        <w:rPr>
          <w:rFonts w:ascii="仿宋_GB2312" w:hAnsi="仿宋_GB2312" w:cs="仿宋_GB2312" w:eastAsia="仿宋_GB2312"/>
        </w:rPr>
        <w:t>委托，拟对</w:t>
      </w:r>
      <w:r>
        <w:rPr>
          <w:rFonts w:ascii="仿宋_GB2312" w:hAnsi="仿宋_GB2312" w:cs="仿宋_GB2312" w:eastAsia="仿宋_GB2312"/>
        </w:rPr>
        <w:t>周至县楼观镇肖里村、就峪村供水保障工程(二次)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QCZB-2025--015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周至县楼观镇肖里村、就峪村供水保障工程(二次)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周至县楼观镇肖里村、就峪村供水保障工程,其中,肖里村：铺设各类PE配水管道8300.6m，其中：Φ90PE100级管（1.0Mpa）881.2m，Φ75PE100级管（1.0Mpa）499.6m，Φ63PE100级管（1.0Mpa）74m，Φ50PE100级管（1.0Mpa）1624.4m，Φ40PE100级管（1.6Mpa）1453.7m，Φ32PE100级管（1.6Mpa）2398m，Φ25PE100级管（1.6Mpa）1369.7m；设置圆形砖砌闸阀井（d=0.8m）7座；安装DN15插卡式智能水表及树脂水表箱400套。 就峪村：新建20t蓄水池1座，铺设各类PE配水管道7633.8m，其中：Φ50PE100级管（1.25Mpa）3603.7m，Φ40PE100级管（1.6Mpa）2382.2m；Φ25PE100级管（1.6Mpa）1647.9m；设置圆形砖砌闸阀井（d=0.8m）8座；安装DN15插卡式智能水表及树脂水表箱86套。(具体建设内容详见本项目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采购包1（周至县楼观镇肖里村、就峪村供水保障工程）：属于专门面向中小企业采购。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企业法人或其他组织，提供合法有效的（三证合一）统一社会信用代码的营业执照等证明文件，供应商需在项目电子化交易系统中按要求上传相应证明文件并进行电子签章；</w:t>
      </w:r>
    </w:p>
    <w:p>
      <w:pPr>
        <w:pStyle w:val="null3"/>
      </w:pPr>
      <w:r>
        <w:rPr>
          <w:rFonts w:ascii="仿宋_GB2312" w:hAnsi="仿宋_GB2312" w:cs="仿宋_GB2312" w:eastAsia="仿宋_GB2312"/>
        </w:rPr>
        <w:t>2、法定代表人身份证明书及授权书：法定代表人直接投标须提交法定代表人身份证明书，法定代表人授权代表参加投标的，须出具法定代表人授权书及被授权人身份证复印件，供应商需在项目电子化交易系统中按要求上传相应证明文件并进行电子签章；</w:t>
      </w:r>
    </w:p>
    <w:p>
      <w:pPr>
        <w:pStyle w:val="null3"/>
      </w:pPr>
      <w:r>
        <w:rPr>
          <w:rFonts w:ascii="仿宋_GB2312" w:hAnsi="仿宋_GB2312" w:cs="仿宋_GB2312" w:eastAsia="仿宋_GB2312"/>
        </w:rPr>
        <w:t>3、财务状况报告：供应商须提供2023年度或2024年度经会计师事务所审计的审计报告（新成立企业可从成立当年开始提供相对应的财务报表）或其基本存款账户开户银行出具的资信证明（资信证明开具日期为采购公告发布之日后），或财政部门认可的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4、税收缴纳凭证：供应商须提供投标截止时间前十二个月内任意一个月的税收缴纳凭证（注：依法免税或零申报的供应商应提供相关文件证明；若为新成立企业须提供相应月度的缴税证明），供应商需在项目电子化交易系统中按要求上传相应证明文件并进行电子签章；</w:t>
      </w:r>
    </w:p>
    <w:p>
      <w:pPr>
        <w:pStyle w:val="null3"/>
      </w:pPr>
      <w:r>
        <w:rPr>
          <w:rFonts w:ascii="仿宋_GB2312" w:hAnsi="仿宋_GB2312" w:cs="仿宋_GB2312" w:eastAsia="仿宋_GB2312"/>
        </w:rPr>
        <w:t>5、社会保险缴纳凭证：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企业资质要求：供应商须具备建设行政主管部门颁发的水利水电工程施工总承包三级（含三级）以上资质，在有效期内，且具备有效的安全生产许可证（复印件加盖供应商公章），供应商需在项目电子化交易系统中按要求上传相应证明文件并进行电子签章；</w:t>
      </w:r>
    </w:p>
    <w:p>
      <w:pPr>
        <w:pStyle w:val="null3"/>
      </w:pPr>
      <w:r>
        <w:rPr>
          <w:rFonts w:ascii="仿宋_GB2312" w:hAnsi="仿宋_GB2312" w:cs="仿宋_GB2312" w:eastAsia="仿宋_GB2312"/>
        </w:rPr>
        <w:t>7、拟派项目经理资质要求：拟派项目经理须具备水利水电工程专业二级（含二级）以上注册建造师资质，在有效期内，且具备有效的安全生产考核合格证书（B证），并提供项目经理无其他在建工程承诺书，供应商需在项目电子化交易系统中按要求上传相应证明文件并进行电子签章；</w:t>
      </w:r>
    </w:p>
    <w:p>
      <w:pPr>
        <w:pStyle w:val="null3"/>
      </w:pPr>
      <w:r>
        <w:rPr>
          <w:rFonts w:ascii="仿宋_GB2312" w:hAnsi="仿宋_GB2312" w:cs="仿宋_GB2312" w:eastAsia="仿宋_GB2312"/>
        </w:rPr>
        <w:t>8、具有履行合同所必需的设备和专业技术能力的承诺函：供应商须提供具有履行合同所必需的设备和专业技术能力的承诺函(加盖供应商公章)，供应商需在项目电子化交易系统中按要求上传相应证明文件并进行电子签章；</w:t>
      </w:r>
    </w:p>
    <w:p>
      <w:pPr>
        <w:pStyle w:val="null3"/>
      </w:pPr>
      <w:r>
        <w:rPr>
          <w:rFonts w:ascii="仿宋_GB2312" w:hAnsi="仿宋_GB2312" w:cs="仿宋_GB2312" w:eastAsia="仿宋_GB2312"/>
        </w:rPr>
        <w:t>9、书面声明：供应商应具备良好的商业信誉，提供参加政府采购活动前3年内在经营活动中没有重大违法记录的书面声明，供应商需在项目电子化交易系统中按要求上传相应证明文件并进行电子签章；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10、信用查询：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当天网上查询结果为评审依据）</w:t>
      </w:r>
    </w:p>
    <w:p>
      <w:pPr>
        <w:pStyle w:val="null3"/>
      </w:pPr>
      <w:r>
        <w:rPr>
          <w:rFonts w:ascii="仿宋_GB2312" w:hAnsi="仿宋_GB2312" w:cs="仿宋_GB2312" w:eastAsia="仿宋_GB2312"/>
        </w:rPr>
        <w:t>11、中小企业声明：本项目专门面向中小企业采购，仅限符合《政府采购促进中小企业发展管理办法》（财库〔2020〕46号）条件的企业参与，供应商应填写中小企业声明函并对真实性负责（残疾人福利性单位及监狱企业视同为小型、微型企业）；供应商需在项目电子化交易系统中按要求上传相应证明文件并进行电子签章；</w:t>
      </w:r>
    </w:p>
    <w:p>
      <w:pPr>
        <w:pStyle w:val="null3"/>
      </w:pPr>
      <w:r>
        <w:rPr>
          <w:rFonts w:ascii="仿宋_GB2312" w:hAnsi="仿宋_GB2312" w:cs="仿宋_GB2312" w:eastAsia="仿宋_GB2312"/>
        </w:rPr>
        <w:t>12、关联关系承诺书：单位负责人为同一人或者存在直接控股、管理关系的不同供应商，不得参加同一合同项下的投标活动；供应商需在项目电子化交易系统中按要求上传相应证明文件并进行电子签章。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西安市周至县人畜安全饮水管理中心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陕西省西安市周至县老城西街98号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西安市周至县人畜安全饮水管理中心经办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029-87112272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陕西乾畅工程项目管理有限公司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西安市雁塔区太白南路5号紫薇尚层西一楼一单元605室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卢鹏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19209375233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采购包1：1,583,000.00元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招标代理服务费由中标单位支付，参照《招标代理服务收费管理暂行办法》(计价格〔2002〕1980号)文件及国家发展改革委（发改价格〔2003〕857号）文件规定的收费标准计算本项目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西安市周至县人畜安全饮水管理中心</w:t>
      </w:r>
      <w:r>
        <w:rPr>
          <w:rFonts w:ascii="仿宋_GB2312" w:hAnsi="仿宋_GB2312" w:cs="仿宋_GB2312" w:eastAsia="仿宋_GB2312"/>
        </w:rPr>
        <w:t>和</w:t>
      </w:r>
      <w:r>
        <w:rPr>
          <w:rFonts w:ascii="仿宋_GB2312" w:hAnsi="仿宋_GB2312" w:cs="仿宋_GB2312" w:eastAsia="仿宋_GB2312"/>
        </w:rPr>
        <w:t>陕西乾畅工程项目管理有限公司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西安市周至县人畜安全饮水管理中心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陕西乾畅工程项目管理有限公司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西安市周至县人畜安全饮水管理中心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陕西乾畅工程项目管理有限公司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陕西乾畅工程项目管理有限公司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陕西乾畅工程项目管理有限公司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陕西乾畅工程项目管理有限公司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联系人：卢鹏</w:t>
      </w:r>
    </w:p>
    <w:p>
      <w:pPr>
        <w:pStyle w:val="null3"/>
      </w:pPr>
      <w:r>
        <w:rPr>
          <w:rFonts w:ascii="仿宋_GB2312" w:hAnsi="仿宋_GB2312" w:cs="仿宋_GB2312" w:eastAsia="仿宋_GB2312"/>
        </w:rPr>
        <w:t>联系电话：19209375233</w:t>
      </w:r>
    </w:p>
    <w:p>
      <w:pPr>
        <w:pStyle w:val="null3"/>
      </w:pPr>
      <w:r>
        <w:rPr>
          <w:rFonts w:ascii="仿宋_GB2312" w:hAnsi="仿宋_GB2312" w:cs="仿宋_GB2312" w:eastAsia="仿宋_GB2312"/>
        </w:rPr>
        <w:t>地址：西安市雁塔区太白南路5号紫薇尚层西一楼一单元605室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1,583,000.00</w:t>
      </w:r>
    </w:p>
    <w:p>
      <w:pPr>
        <w:pStyle w:val="null3"/>
      </w:pPr>
      <w:r>
        <w:rPr>
          <w:rFonts w:ascii="仿宋_GB2312" w:hAnsi="仿宋_GB2312" w:cs="仿宋_GB2312" w:eastAsia="仿宋_GB2312"/>
        </w:rPr>
        <w:t>采购包最高限价（元）: 1,583,000.00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周至县楼观镇肖里村、就峪村供水保障工程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1,583,000.00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标的名称：周至县楼观镇肖里村、就峪村供水保障工程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right="-195"/>
              <w:jc w:val="left"/>
            </w:pPr>
            <w:r>
              <w:rPr>
                <w:rFonts w:ascii="仿宋_GB2312" w:hAnsi="仿宋_GB2312" w:cs="仿宋_GB2312" w:eastAsia="仿宋_GB2312"/>
                <w:sz w:val="24"/>
                <w:b/>
              </w:rPr>
              <w:t>一、工程概况</w:t>
            </w:r>
          </w:p>
          <w:p>
            <w:pPr>
              <w:pStyle w:val="null3"/>
              <w:ind w:right="-195" w:firstLine="482"/>
              <w:jc w:val="left"/>
            </w:pPr>
            <w:r>
              <w:rPr>
                <w:rFonts w:ascii="仿宋_GB2312" w:hAnsi="仿宋_GB2312" w:cs="仿宋_GB2312" w:eastAsia="仿宋_GB2312"/>
                <w:sz w:val="24"/>
                <w:b/>
              </w:rPr>
              <w:t>1、工程名称：</w:t>
            </w:r>
            <w:r>
              <w:rPr>
                <w:rFonts w:ascii="仿宋_GB2312" w:hAnsi="仿宋_GB2312" w:cs="仿宋_GB2312" w:eastAsia="仿宋_GB2312"/>
                <w:sz w:val="24"/>
              </w:rPr>
              <w:t>周至县楼观镇肖里村、就峪村供水保障工程</w:t>
            </w:r>
          </w:p>
          <w:p>
            <w:pPr>
              <w:pStyle w:val="null3"/>
              <w:ind w:right="-195" w:firstLine="482"/>
              <w:jc w:val="left"/>
            </w:pPr>
            <w:r>
              <w:rPr>
                <w:rFonts w:ascii="仿宋_GB2312" w:hAnsi="仿宋_GB2312" w:cs="仿宋_GB2312" w:eastAsia="仿宋_GB2312"/>
                <w:sz w:val="24"/>
                <w:b/>
              </w:rPr>
              <w:t>2、工程地点：</w:t>
            </w:r>
            <w:r>
              <w:rPr>
                <w:rFonts w:ascii="仿宋_GB2312" w:hAnsi="仿宋_GB2312" w:cs="仿宋_GB2312" w:eastAsia="仿宋_GB2312"/>
                <w:sz w:val="24"/>
              </w:rPr>
              <w:t>周至县楼观镇肖里村、就峪村</w:t>
            </w:r>
          </w:p>
          <w:p>
            <w:pPr>
              <w:pStyle w:val="null3"/>
              <w:ind w:right="-195" w:firstLine="482"/>
              <w:jc w:val="left"/>
            </w:pPr>
            <w:r>
              <w:rPr>
                <w:rFonts w:ascii="仿宋_GB2312" w:hAnsi="仿宋_GB2312" w:cs="仿宋_GB2312" w:eastAsia="仿宋_GB2312"/>
                <w:sz w:val="24"/>
                <w:b/>
              </w:rPr>
              <w:t>3、预算金额：</w:t>
            </w:r>
            <w:r>
              <w:rPr>
                <w:rFonts w:ascii="仿宋_GB2312" w:hAnsi="仿宋_GB2312" w:cs="仿宋_GB2312" w:eastAsia="仿宋_GB2312"/>
                <w:sz w:val="24"/>
              </w:rPr>
              <w:t>1583000.00元，最高限价：1583000.00元（供应商报价超过最高限价的，按无效文件处理）</w:t>
            </w:r>
          </w:p>
          <w:p>
            <w:pPr>
              <w:pStyle w:val="null3"/>
              <w:ind w:right="-195" w:firstLine="482"/>
              <w:jc w:val="left"/>
            </w:pPr>
            <w:r>
              <w:rPr>
                <w:rFonts w:ascii="仿宋_GB2312" w:hAnsi="仿宋_GB2312" w:cs="仿宋_GB2312" w:eastAsia="仿宋_GB2312"/>
                <w:sz w:val="24"/>
                <w:b/>
              </w:rPr>
              <w:t>4、工程内容：</w:t>
            </w:r>
            <w:r>
              <w:rPr>
                <w:rFonts w:ascii="仿宋_GB2312" w:hAnsi="仿宋_GB2312" w:cs="仿宋_GB2312" w:eastAsia="仿宋_GB2312"/>
                <w:sz w:val="24"/>
              </w:rPr>
              <w:t>周至县楼观镇肖里村、就峪村供水保障工程。其中，肖里村：铺设各类</w:t>
            </w:r>
            <w:r>
              <w:rPr>
                <w:rFonts w:ascii="仿宋_GB2312" w:hAnsi="仿宋_GB2312" w:cs="仿宋_GB2312" w:eastAsia="仿宋_GB2312"/>
                <w:sz w:val="24"/>
              </w:rPr>
              <w:t>PE配水管道8300.6m，其中：Φ90PE100级管（1.0Mpa）881.2m，Φ75PE100级管（1.0Mpa）499.6m，Φ63PE100级管（1.0Mpa）74m，Φ50PE100级管（1.0Mpa）1624.4m，Φ40PE100级管（1.6Mpa）1453.7m，Φ32PE100级管（1.6Mpa）2398m，Φ25PE100级管（1.6Mpa）1369.7m；设置圆形砖砌闸阀井（d=0.8m）7座；安装DN15插卡式智能水表及树脂水表箱400套。</w:t>
            </w:r>
          </w:p>
          <w:p>
            <w:pPr>
              <w:pStyle w:val="null3"/>
              <w:ind w:right="-195" w:firstLine="482"/>
              <w:jc w:val="left"/>
            </w:pPr>
            <w:r>
              <w:rPr>
                <w:rFonts w:ascii="仿宋_GB2312" w:hAnsi="仿宋_GB2312" w:cs="仿宋_GB2312" w:eastAsia="仿宋_GB2312"/>
                <w:sz w:val="24"/>
              </w:rPr>
              <w:t>就峪村：新建</w:t>
            </w:r>
            <w:r>
              <w:rPr>
                <w:rFonts w:ascii="仿宋_GB2312" w:hAnsi="仿宋_GB2312" w:cs="仿宋_GB2312" w:eastAsia="仿宋_GB2312"/>
                <w:sz w:val="24"/>
              </w:rPr>
              <w:t>20t蓄水池1座，铺设各类PE配水管道7633.8m，其中：Φ50PE100级管（1.25Mpa）3603.7m，Φ40PE100级管（1.6Mpa）2382.2m；Φ25PE100级管（1.6Mpa）1647.9m；设置圆形砖砌闸阀井（d=0.8m）8座；安装DN15插卡式智能水表及树脂水表箱86套。(具体建设内容详见本项目工程量清单）</w:t>
            </w:r>
          </w:p>
          <w:p>
            <w:pPr>
              <w:pStyle w:val="null3"/>
              <w:jc w:val="both"/>
            </w:pPr>
            <w:r>
              <w:rPr>
                <w:rFonts w:ascii="仿宋_GB2312" w:hAnsi="仿宋_GB2312" w:cs="仿宋_GB2312" w:eastAsia="仿宋_GB2312"/>
                <w:sz w:val="24"/>
                <w:b/>
              </w:rPr>
              <w:t>二、编制</w:t>
            </w:r>
            <w:r>
              <w:rPr>
                <w:rFonts w:ascii="仿宋_GB2312" w:hAnsi="仿宋_GB2312" w:cs="仿宋_GB2312" w:eastAsia="仿宋_GB2312"/>
                <w:sz w:val="24"/>
                <w:b/>
              </w:rPr>
              <w:t>说明</w:t>
            </w:r>
            <w:r>
              <w:rPr>
                <w:rFonts w:ascii="仿宋_GB2312" w:hAnsi="仿宋_GB2312" w:cs="仿宋_GB2312" w:eastAsia="仿宋_GB2312"/>
                <w:sz w:val="24"/>
                <w:b/>
              </w:rPr>
              <w:t>：</w:t>
            </w:r>
          </w:p>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编制依据</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周至县肖里村、就峪村供水保障工程</w:t>
            </w:r>
            <w:r>
              <w:rPr>
                <w:rFonts w:ascii="仿宋_GB2312" w:hAnsi="仿宋_GB2312" w:cs="仿宋_GB2312" w:eastAsia="仿宋_GB2312"/>
                <w:sz w:val="24"/>
              </w:rPr>
              <w:t>实施方案</w:t>
            </w:r>
            <w:r>
              <w:rPr>
                <w:rFonts w:ascii="仿宋_GB2312" w:hAnsi="仿宋_GB2312" w:cs="仿宋_GB2312" w:eastAsia="仿宋_GB2312"/>
                <w:sz w:val="24"/>
              </w:rPr>
              <w:t>》、《</w:t>
            </w:r>
            <w:r>
              <w:rPr>
                <w:rFonts w:ascii="仿宋_GB2312" w:hAnsi="仿宋_GB2312" w:cs="仿宋_GB2312" w:eastAsia="仿宋_GB2312"/>
                <w:sz w:val="24"/>
              </w:rPr>
              <w:t>周至县肖里村、就峪村供水保障工程</w:t>
            </w:r>
            <w:r>
              <w:rPr>
                <w:rFonts w:ascii="仿宋_GB2312" w:hAnsi="仿宋_GB2312" w:cs="仿宋_GB2312" w:eastAsia="仿宋_GB2312"/>
                <w:sz w:val="24"/>
              </w:rPr>
              <w:t>施工招标文件</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2、清单编制依据《水利工程工程量清单计价规范》（GB50501-2007）及其配套文件中工程量计算办法；</w:t>
            </w:r>
          </w:p>
          <w:p>
            <w:pPr>
              <w:pStyle w:val="null3"/>
              <w:ind w:firstLine="480"/>
              <w:jc w:val="both"/>
            </w:pPr>
            <w:r>
              <w:rPr>
                <w:rFonts w:ascii="仿宋_GB2312" w:hAnsi="仿宋_GB2312" w:cs="仿宋_GB2312" w:eastAsia="仿宋_GB2312"/>
                <w:sz w:val="24"/>
              </w:rPr>
              <w:t>3、依据正常的施工组织设计及施工方法；</w:t>
            </w:r>
          </w:p>
          <w:p>
            <w:pPr>
              <w:pStyle w:val="null3"/>
              <w:ind w:firstLine="480"/>
              <w:jc w:val="both"/>
            </w:pPr>
            <w:r>
              <w:rPr>
                <w:rFonts w:ascii="仿宋_GB2312" w:hAnsi="仿宋_GB2312" w:cs="仿宋_GB2312" w:eastAsia="仿宋_GB2312"/>
                <w:sz w:val="24"/>
              </w:rPr>
              <w:t>4、施工图设计中采用的相关施工规范及验收规范。</w:t>
            </w:r>
          </w:p>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清单说明</w:t>
            </w:r>
          </w:p>
          <w:p>
            <w:pPr>
              <w:pStyle w:val="null3"/>
              <w:ind w:firstLine="480"/>
              <w:jc w:val="both"/>
            </w:pPr>
            <w:r>
              <w:rPr>
                <w:rFonts w:ascii="仿宋_GB2312" w:hAnsi="仿宋_GB2312" w:cs="仿宋_GB2312" w:eastAsia="仿宋_GB2312"/>
                <w:sz w:val="24"/>
              </w:rPr>
              <w:t>1、投标人应依据工程量清单应与招标文件中的投标人须知、通用合同条款、专用合同条款、技术标准和要求(合同技术条款)等一起阅读和理解，进行报价。</w:t>
            </w:r>
          </w:p>
          <w:p>
            <w:pPr>
              <w:pStyle w:val="null3"/>
              <w:ind w:firstLine="480"/>
              <w:jc w:val="both"/>
            </w:pPr>
            <w:r>
              <w:rPr>
                <w:rFonts w:ascii="仿宋_GB2312" w:hAnsi="仿宋_GB2312" w:cs="仿宋_GB2312" w:eastAsia="仿宋_GB2312"/>
                <w:sz w:val="24"/>
              </w:rPr>
              <w:t>2、工程量清单仅是投标人投标报价的共同基础。除另有约定外，工程量清单中的工程量是根据招标设计图纸计算的用于投标报价的估算工程量，不作为最终结算工程量。最终结算工程量是承包人实际完成并符合技术标准和要求(合同技术条款)规定，按施工图纸计算的有效工程量。</w:t>
            </w:r>
          </w:p>
          <w:p>
            <w:pPr>
              <w:pStyle w:val="null3"/>
              <w:ind w:firstLine="480"/>
              <w:jc w:val="both"/>
            </w:pPr>
            <w:r>
              <w:rPr>
                <w:rFonts w:ascii="仿宋_GB2312" w:hAnsi="仿宋_GB2312" w:cs="仿宋_GB2312" w:eastAsia="仿宋_GB2312"/>
                <w:sz w:val="24"/>
              </w:rPr>
              <w:t>3、投标人报价应符合工程量清单中各项目的工作内容和要求，应符合相关技术标准和要求(合同技术条款)的规定。</w:t>
            </w:r>
          </w:p>
          <w:p>
            <w:pPr>
              <w:pStyle w:val="null3"/>
              <w:ind w:firstLine="480"/>
              <w:jc w:val="both"/>
            </w:pPr>
            <w:r>
              <w:rPr>
                <w:rFonts w:ascii="仿宋_GB2312" w:hAnsi="仿宋_GB2312" w:cs="仿宋_GB2312" w:eastAsia="仿宋_GB2312"/>
                <w:sz w:val="24"/>
              </w:rPr>
              <w:t>4、工程量清单报价表填写规定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除招标文件另有规定外，投标人不得随意增加、删除或涂改招标文件工程量清单中的任何内容。工程量清单中列明的所有需要填写的单价和合价，投标人均应填写；未填写的单价和合价，视为已包括在工程量清单的其它单价和合价中。</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工程量清单中的工程单价是完成工程量清单中一个质量合格的规定计量单位项目所需的直接费、间接费、利润和税金，并考虑到风险因素。投标人应根据规定的工程单价组成内容确定工程单价。除另有规定外，对有效工程量以外的超挖、超填工程量，施工附加量，加工、运输损耗量等，所消耗的人工、材料和机械费用，均应摊</w:t>
            </w:r>
            <w:r>
              <w:rPr>
                <w:rFonts w:ascii="仿宋_GB2312" w:hAnsi="仿宋_GB2312" w:cs="仿宋_GB2312" w:eastAsia="仿宋_GB2312"/>
                <w:sz w:val="24"/>
              </w:rPr>
              <w:t>入</w:t>
            </w:r>
            <w:r>
              <w:rPr>
                <w:rFonts w:ascii="仿宋_GB2312" w:hAnsi="仿宋_GB2312" w:cs="仿宋_GB2312" w:eastAsia="仿宋_GB2312"/>
                <w:sz w:val="24"/>
              </w:rPr>
              <w:t>相应有效工程量的工程单价内。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3）投标金额(价格)均应以人民币表示。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4）投标总价应按工程项目总价表合计金额填写。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5）工程项目总价表中组号和工程项目名称按招标文件工程量清单中的相应内容填写，并按分组工程量清单报价表中相应项目合计金额填写。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6）分组工程量清单报价表中的序号、项目名称、计量单位、工程数量，按招标文件分组工程量清单报价表的相应内容填写，并填写相应项目的单价和合价。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7）计日工项目报价表的序号、人工、材料、机械的名称、型号规格以及计量单位，按招标文件计日工项目清单报价表中的相应内容填写，并填写相应项目单价。</w:t>
            </w:r>
          </w:p>
          <w:p>
            <w:pPr>
              <w:pStyle w:val="null3"/>
              <w:ind w:firstLine="482"/>
              <w:jc w:val="both"/>
            </w:pPr>
            <w:r>
              <w:rPr>
                <w:rFonts w:ascii="仿宋_GB2312" w:hAnsi="仿宋_GB2312" w:cs="仿宋_GB2312" w:eastAsia="仿宋_GB2312"/>
                <w:sz w:val="24"/>
                <w:b/>
              </w:rPr>
              <w:t>（三）</w:t>
            </w:r>
            <w:r>
              <w:rPr>
                <w:rFonts w:ascii="仿宋_GB2312" w:hAnsi="仿宋_GB2312" w:cs="仿宋_GB2312" w:eastAsia="仿宋_GB2312"/>
                <w:sz w:val="24"/>
                <w:b/>
              </w:rPr>
              <w:t>有关问题说明</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其他施工临时工程按照建筑安装工程费的</w:t>
            </w:r>
            <w:r>
              <w:rPr>
                <w:rFonts w:ascii="仿宋_GB2312" w:hAnsi="仿宋_GB2312" w:cs="仿宋_GB2312" w:eastAsia="仿宋_GB2312"/>
                <w:sz w:val="24"/>
              </w:rPr>
              <w:t>2%计入；</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水土保持工程费按照</w:t>
            </w:r>
            <w:r>
              <w:rPr>
                <w:rFonts w:ascii="仿宋_GB2312" w:hAnsi="仿宋_GB2312" w:cs="仿宋_GB2312" w:eastAsia="仿宋_GB2312"/>
                <w:sz w:val="24"/>
              </w:rPr>
              <w:t>100000元计入。</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）预备费</w:t>
            </w:r>
            <w:r>
              <w:rPr>
                <w:rFonts w:ascii="仿宋_GB2312" w:hAnsi="仿宋_GB2312" w:cs="仿宋_GB2312" w:eastAsia="仿宋_GB2312"/>
                <w:sz w:val="24"/>
              </w:rPr>
              <w:t>按照</w:t>
            </w:r>
            <w:r>
              <w:rPr>
                <w:rFonts w:ascii="仿宋_GB2312" w:hAnsi="仿宋_GB2312" w:cs="仿宋_GB2312" w:eastAsia="仿宋_GB2312"/>
                <w:sz w:val="24"/>
              </w:rPr>
              <w:t>57000元计入。</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）管件按照所属管材价格合计</w:t>
            </w:r>
            <w:r>
              <w:rPr>
                <w:rFonts w:ascii="仿宋_GB2312" w:hAnsi="仿宋_GB2312" w:cs="仿宋_GB2312" w:eastAsia="仿宋_GB2312"/>
                <w:sz w:val="24"/>
              </w:rPr>
              <w:t>5%计入。</w:t>
            </w:r>
          </w:p>
          <w:p>
            <w:pPr>
              <w:pStyle w:val="null3"/>
              <w:ind w:right="-195" w:firstLine="480"/>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）软件版本：天宇</w:t>
            </w:r>
            <w:r>
              <w:rPr>
                <w:rFonts w:ascii="仿宋_GB2312" w:hAnsi="仿宋_GB2312" w:cs="仿宋_GB2312" w:eastAsia="仿宋_GB2312"/>
                <w:sz w:val="24"/>
              </w:rPr>
              <w:t>e算陕西省水利水电工程造价软件V1.2.6（202404-01）。</w:t>
            </w:r>
          </w:p>
          <w:p>
            <w:pPr>
              <w:pStyle w:val="null3"/>
              <w:ind w:right="-195" w:firstLine="480"/>
              <w:jc w:val="left"/>
            </w:pPr>
            <w:r>
              <w:rPr>
                <w:rFonts w:ascii="仿宋_GB2312" w:hAnsi="仿宋_GB2312" w:cs="仿宋_GB2312" w:eastAsia="仿宋_GB2312"/>
                <w:sz w:val="24"/>
                <w:b/>
              </w:rPr>
              <w:t>三、施工计划：</w:t>
            </w:r>
            <w:r>
              <w:rPr>
                <w:rFonts w:ascii="仿宋_GB2312" w:hAnsi="仿宋_GB2312" w:cs="仿宋_GB2312" w:eastAsia="仿宋_GB2312"/>
                <w:sz w:val="24"/>
              </w:rPr>
              <w:t>施工顺序由施工单位确定，施工过程中应及时清理建筑垃圾。</w:t>
            </w:r>
            <w:r>
              <w:rPr>
                <w:rFonts w:ascii="仿宋_GB2312" w:hAnsi="仿宋_GB2312" w:cs="仿宋_GB2312" w:eastAsia="仿宋_GB2312"/>
                <w:sz w:val="24"/>
              </w:rPr>
              <w:t xml:space="preserve">                </w:t>
            </w:r>
          </w:p>
          <w:p>
            <w:pPr>
              <w:pStyle w:val="null3"/>
              <w:ind w:right="-195"/>
              <w:jc w:val="left"/>
            </w:pPr>
            <w:r>
              <w:rPr>
                <w:rFonts w:ascii="仿宋_GB2312" w:hAnsi="仿宋_GB2312" w:cs="仿宋_GB2312" w:eastAsia="仿宋_GB2312"/>
                <w:sz w:val="24"/>
                <w:b/>
              </w:rPr>
              <w:t>四、工期要求：</w:t>
            </w:r>
            <w:r>
              <w:rPr>
                <w:rFonts w:ascii="仿宋_GB2312" w:hAnsi="仿宋_GB2312" w:cs="仿宋_GB2312" w:eastAsia="仿宋_GB2312"/>
                <w:sz w:val="24"/>
              </w:rPr>
              <w:t>施工合同签订之日起</w:t>
            </w:r>
            <w:r>
              <w:rPr>
                <w:rFonts w:ascii="仿宋_GB2312" w:hAnsi="仿宋_GB2312" w:cs="仿宋_GB2312" w:eastAsia="仿宋_GB2312"/>
                <w:sz w:val="24"/>
              </w:rPr>
              <w:t>120日历天内完成（具体服务起止日期可随合同签订时间相应顺延）。</w:t>
            </w:r>
          </w:p>
          <w:p>
            <w:pPr>
              <w:pStyle w:val="null3"/>
              <w:ind w:right="-195"/>
              <w:jc w:val="left"/>
            </w:pPr>
            <w:r>
              <w:rPr>
                <w:rFonts w:ascii="仿宋_GB2312" w:hAnsi="仿宋_GB2312" w:cs="仿宋_GB2312" w:eastAsia="仿宋_GB2312"/>
                <w:sz w:val="24"/>
                <w:b/>
              </w:rPr>
              <w:t>五、工程质量要求：</w:t>
            </w:r>
            <w:r>
              <w:rPr>
                <w:rFonts w:ascii="仿宋_GB2312" w:hAnsi="仿宋_GB2312" w:cs="仿宋_GB2312" w:eastAsia="仿宋_GB2312"/>
                <w:sz w:val="24"/>
              </w:rPr>
              <w:t>按国家有关验收规范和验评标准，工程质量达到合格标准。</w:t>
            </w:r>
          </w:p>
          <w:p>
            <w:pPr>
              <w:pStyle w:val="null3"/>
              <w:ind w:right="-195"/>
              <w:jc w:val="left"/>
            </w:pPr>
            <w:r>
              <w:rPr>
                <w:rFonts w:ascii="仿宋_GB2312" w:hAnsi="仿宋_GB2312" w:cs="仿宋_GB2312" w:eastAsia="仿宋_GB2312"/>
                <w:sz w:val="24"/>
                <w:b/>
              </w:rPr>
              <w:t>六、施工准备</w:t>
            </w:r>
          </w:p>
          <w:p>
            <w:pPr>
              <w:pStyle w:val="null3"/>
              <w:ind w:right="-195" w:firstLine="480"/>
              <w:jc w:val="left"/>
            </w:pPr>
            <w:r>
              <w:rPr>
                <w:rFonts w:ascii="仿宋_GB2312" w:hAnsi="仿宋_GB2312" w:cs="仿宋_GB2312" w:eastAsia="仿宋_GB2312"/>
                <w:sz w:val="24"/>
              </w:rPr>
              <w:t>1、依据甲方指定范围、确定本工程的位置。</w:t>
            </w:r>
          </w:p>
          <w:p>
            <w:pPr>
              <w:pStyle w:val="null3"/>
              <w:ind w:right="-195" w:firstLine="480"/>
              <w:jc w:val="left"/>
            </w:pPr>
            <w:r>
              <w:rPr>
                <w:rFonts w:ascii="仿宋_GB2312" w:hAnsi="仿宋_GB2312" w:cs="仿宋_GB2312" w:eastAsia="仿宋_GB2312"/>
                <w:sz w:val="24"/>
              </w:rPr>
              <w:t>2</w:t>
            </w:r>
            <w:r>
              <w:rPr>
                <w:rFonts w:ascii="仿宋_GB2312" w:hAnsi="仿宋_GB2312" w:cs="仿宋_GB2312" w:eastAsia="仿宋_GB2312"/>
                <w:sz w:val="24"/>
              </w:rPr>
              <w:t>、对施工技术人员和操作工人组织培训学习，进行分级交底制施工进度控制实施细则，分解工程进度控制目标，明确各自职责，确保工期。</w:t>
            </w:r>
          </w:p>
          <w:p>
            <w:pPr>
              <w:pStyle w:val="null3"/>
              <w:ind w:right="-195"/>
              <w:jc w:val="left"/>
            </w:pPr>
            <w:r>
              <w:rPr>
                <w:rFonts w:ascii="仿宋_GB2312" w:hAnsi="仿宋_GB2312" w:cs="仿宋_GB2312" w:eastAsia="仿宋_GB2312"/>
                <w:sz w:val="24"/>
                <w:b/>
              </w:rPr>
              <w:t>七、施工要求</w:t>
            </w:r>
          </w:p>
          <w:p>
            <w:pPr>
              <w:pStyle w:val="null3"/>
              <w:ind w:right="-195" w:firstLine="480"/>
              <w:jc w:val="left"/>
            </w:pPr>
            <w:r>
              <w:rPr>
                <w:rFonts w:ascii="仿宋_GB2312" w:hAnsi="仿宋_GB2312" w:cs="仿宋_GB2312" w:eastAsia="仿宋_GB2312"/>
                <w:sz w:val="24"/>
              </w:rPr>
              <w:t>1、严格执行国家现行规范、标准，严格按照设计要求组织施工。</w:t>
            </w:r>
          </w:p>
          <w:p>
            <w:pPr>
              <w:pStyle w:val="null3"/>
              <w:ind w:right="-195" w:firstLine="480"/>
              <w:jc w:val="left"/>
            </w:pPr>
            <w:r>
              <w:rPr>
                <w:rFonts w:ascii="仿宋_GB2312" w:hAnsi="仿宋_GB2312" w:cs="仿宋_GB2312" w:eastAsia="仿宋_GB2312"/>
                <w:sz w:val="24"/>
              </w:rPr>
              <w:t>2、明确职责，严格岗位责任，齐心协力做好工作，确保工程按计划进行。</w:t>
            </w:r>
          </w:p>
          <w:p>
            <w:pPr>
              <w:pStyle w:val="null3"/>
              <w:ind w:right="-195" w:firstLine="480"/>
              <w:jc w:val="left"/>
            </w:pPr>
            <w:r>
              <w:rPr>
                <w:rFonts w:ascii="仿宋_GB2312" w:hAnsi="仿宋_GB2312" w:cs="仿宋_GB2312" w:eastAsia="仿宋_GB2312"/>
                <w:sz w:val="24"/>
              </w:rPr>
              <w:t>3、加强管理，确保施工中的人员安全。</w:t>
            </w:r>
          </w:p>
          <w:p>
            <w:pPr>
              <w:pStyle w:val="null3"/>
              <w:ind w:right="-195"/>
              <w:jc w:val="left"/>
            </w:pPr>
            <w:r>
              <w:rPr>
                <w:rFonts w:ascii="仿宋_GB2312" w:hAnsi="仿宋_GB2312" w:cs="仿宋_GB2312" w:eastAsia="仿宋_GB2312"/>
                <w:sz w:val="24"/>
                <w:b/>
              </w:rPr>
              <w:t>八、工程量清单</w:t>
            </w:r>
          </w:p>
          <w:tbl>
            <w:tblPr>
              <w:tblInd w:type="dxa" w:w="90"/>
              <w:tblBorders>
                <w:top w:val="none" w:color="000000" w:sz="4"/>
                <w:left w:val="none" w:color="000000" w:sz="4"/>
                <w:bottom w:val="none" w:color="000000" w:sz="4"/>
                <w:right w:val="none" w:color="000000" w:sz="4"/>
                <w:insideH w:val="none"/>
                <w:insideV w:val="none"/>
              </w:tblBorders>
            </w:tblPr>
            <w:tblGrid>
              <w:gridCol w:w="368"/>
              <w:gridCol w:w="892"/>
              <w:gridCol w:w="537"/>
              <w:gridCol w:w="750"/>
            </w:tblGrid>
            <w:tr>
              <w:tc>
                <w:tcPr>
                  <w:tcW w:type="dxa" w:w="2547"/>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工程量清单</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工程名称</w:t>
                  </w:r>
                </w:p>
              </w:tc>
              <w:tc>
                <w:tcPr>
                  <w:tcW w:type="dxa" w:w="2179"/>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周至县肖里村、就峪村供水保障工程</w:t>
                  </w:r>
                </w:p>
              </w:tc>
            </w:tr>
            <w:tr>
              <w:tc>
                <w:tcPr>
                  <w:tcW w:type="dxa" w:w="12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组号：</w:t>
                  </w:r>
                  <w:r>
                    <w:rPr>
                      <w:rFonts w:ascii="仿宋_GB2312" w:hAnsi="仿宋_GB2312" w:cs="仿宋_GB2312" w:eastAsia="仿宋_GB2312"/>
                      <w:sz w:val="24"/>
                      <w:color w:val="000000"/>
                    </w:rPr>
                    <w:t>1</w:t>
                  </w:r>
                </w:p>
              </w:tc>
              <w:tc>
                <w:tcPr>
                  <w:tcW w:type="dxa" w:w="12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分组名称：</w:t>
                  </w:r>
                  <w:r>
                    <w:rPr>
                      <w:rFonts w:ascii="仿宋_GB2312" w:hAnsi="仿宋_GB2312" w:cs="仿宋_GB2312" w:eastAsia="仿宋_GB2312"/>
                      <w:sz w:val="24"/>
                      <w:color w:val="000000"/>
                    </w:rPr>
                    <w:t>建筑工程</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项目名称</w:t>
                  </w:r>
                </w:p>
              </w:tc>
              <w:tc>
                <w:tcPr>
                  <w:tcW w:type="dxa" w:w="5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7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工程数量</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肖里村</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配水管网</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1.1.1.1</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PE100-dn90-1.0Mpa管</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881.2</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1.1.1.2</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PE100-dn75-1.0Mpa管</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499.6</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1.1.1.3</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PE100-dn63-1.0Mpa管</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74</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1.1.1.4</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PE100-dn50-1.0Mpa管</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1624.4</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1.1.1.5</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PE100-dn40-1.6Mpa管</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1453.7</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1.1.1.6</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PE100-dn32-1.6Mpa管</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2398</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1.1.1.7</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PE100-dn25-1.6Mpa管</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1369.7</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1.1.1.8</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PE管件</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1.1.1.9</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土方开挖</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1915</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1.1.1.10</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土方回填</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1915</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1.1.1.11</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C20砼路面拆除及外运</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158</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1.1.1.12</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C20砼路面恢复（18cm）</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876</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1.1.1.13</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定向钻路打孔</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4720</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1.1.1.14</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弃渣外运</w:t>
                  </w:r>
                  <w:r>
                    <w:rPr>
                      <w:rFonts w:ascii="仿宋_GB2312" w:hAnsi="仿宋_GB2312" w:cs="仿宋_GB2312" w:eastAsia="仿宋_GB2312"/>
                      <w:sz w:val="24"/>
                      <w:color w:val="000000"/>
                    </w:rPr>
                    <w:t>10km</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158</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1.1.2</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闸阀井（</w:t>
                  </w:r>
                  <w:r>
                    <w:rPr>
                      <w:rFonts w:ascii="仿宋_GB2312" w:hAnsi="仿宋_GB2312" w:cs="仿宋_GB2312" w:eastAsia="仿宋_GB2312"/>
                      <w:sz w:val="24"/>
                      <w:color w:val="000000"/>
                    </w:rPr>
                    <w:t>d=0.8m）</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1.1.3</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树脂水表箱（</w:t>
                  </w:r>
                  <w:r>
                    <w:rPr>
                      <w:rFonts w:ascii="仿宋_GB2312" w:hAnsi="仿宋_GB2312" w:cs="仿宋_GB2312" w:eastAsia="仿宋_GB2312"/>
                      <w:sz w:val="24"/>
                      <w:color w:val="000000"/>
                    </w:rPr>
                    <w:t>340*540*350）（开挖、回填及安装）</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400</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就峪村</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1.2.1</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水源部分</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1.2.1.1</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取水口</w:t>
                  </w:r>
                  <w:r>
                    <w:rPr>
                      <w:rFonts w:ascii="仿宋_GB2312" w:hAnsi="仿宋_GB2312" w:cs="仿宋_GB2312" w:eastAsia="仿宋_GB2312"/>
                      <w:sz w:val="24"/>
                      <w:color w:val="000000"/>
                    </w:rPr>
                    <w:t>(1*0.8m)</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1.2.1.2</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20t蓄水池</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1.2.2</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配水管网</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1.2.2.1</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PE100—dn50—1.25Mpa管</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3603.7</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1.2.2.2</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PE100—dn40—1.6Mpa管</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2382.2</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1.2.2.3</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PE100—dn25—1.6Mpa管</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1647.9</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1.2.2.4</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PE管件</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1.2.2.5</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土方开挖</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1920</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1.2.2.6</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土方回填</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1920</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1.2.2.7</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C20砼路面拆除及外运</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58</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1.2.2.8</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C20砼路面恢复（18cm）</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300</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1.2.2.9</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石方开挖</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60</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1.2.2.10</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保温棉</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5800</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1.2.2.11</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树脂水表箱（</w:t>
                  </w:r>
                  <w:r>
                    <w:rPr>
                      <w:rFonts w:ascii="仿宋_GB2312" w:hAnsi="仿宋_GB2312" w:cs="仿宋_GB2312" w:eastAsia="仿宋_GB2312"/>
                      <w:sz w:val="24"/>
                      <w:color w:val="000000"/>
                    </w:rPr>
                    <w:t>340*540*350）（开挖、回填及安装）</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86</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1.2.2.12</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闸阀井（</w:t>
                  </w:r>
                  <w:r>
                    <w:rPr>
                      <w:rFonts w:ascii="仿宋_GB2312" w:hAnsi="仿宋_GB2312" w:cs="仿宋_GB2312" w:eastAsia="仿宋_GB2312"/>
                      <w:sz w:val="24"/>
                      <w:color w:val="000000"/>
                    </w:rPr>
                    <w:t>d=0.8m）</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w:t>
                  </w:r>
                </w:p>
              </w:tc>
            </w:tr>
            <w:tr>
              <w:tc>
                <w:tcPr>
                  <w:tcW w:type="dxa" w:w="12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组号：</w:t>
                  </w:r>
                  <w:r>
                    <w:rPr>
                      <w:rFonts w:ascii="仿宋_GB2312" w:hAnsi="仿宋_GB2312" w:cs="仿宋_GB2312" w:eastAsia="仿宋_GB2312"/>
                      <w:sz w:val="24"/>
                      <w:color w:val="000000"/>
                    </w:rPr>
                    <w:t>2</w:t>
                  </w:r>
                </w:p>
              </w:tc>
              <w:tc>
                <w:tcPr>
                  <w:tcW w:type="dxa" w:w="12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分组名称：</w:t>
                  </w:r>
                  <w:r>
                    <w:rPr>
                      <w:rFonts w:ascii="仿宋_GB2312" w:hAnsi="仿宋_GB2312" w:cs="仿宋_GB2312" w:eastAsia="仿宋_GB2312"/>
                      <w:sz w:val="24"/>
                      <w:color w:val="000000"/>
                    </w:rPr>
                    <w:t>机电设备及安装工程</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项目名称</w:t>
                  </w:r>
                </w:p>
              </w:tc>
              <w:tc>
                <w:tcPr>
                  <w:tcW w:type="dxa" w:w="5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7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工程数量</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肖里村</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2.1.1</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DN15插卡式智能水表</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400</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就峪村</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2.2.1</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DN15插卡式智能水表</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86</w:t>
                  </w:r>
                </w:p>
              </w:tc>
            </w:tr>
            <w:tr>
              <w:tc>
                <w:tcPr>
                  <w:tcW w:type="dxa" w:w="12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组号：</w:t>
                  </w:r>
                  <w:r>
                    <w:rPr>
                      <w:rFonts w:ascii="仿宋_GB2312" w:hAnsi="仿宋_GB2312" w:cs="仿宋_GB2312" w:eastAsia="仿宋_GB2312"/>
                      <w:sz w:val="24"/>
                      <w:color w:val="000000"/>
                    </w:rPr>
                    <w:t>3</w:t>
                  </w:r>
                </w:p>
              </w:tc>
              <w:tc>
                <w:tcPr>
                  <w:tcW w:type="dxa" w:w="128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分组名称：</w:t>
                  </w:r>
                  <w:r>
                    <w:rPr>
                      <w:rFonts w:ascii="仿宋_GB2312" w:hAnsi="仿宋_GB2312" w:cs="仿宋_GB2312" w:eastAsia="仿宋_GB2312"/>
                      <w:sz w:val="24"/>
                      <w:color w:val="000000"/>
                    </w:rPr>
                    <w:t>金属结构设备及安装工程</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项目名称</w:t>
                  </w:r>
                </w:p>
              </w:tc>
              <w:tc>
                <w:tcPr>
                  <w:tcW w:type="dxa" w:w="5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7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工程数量</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3.1</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肖里村</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3.1.1</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DN90智能闸阀(Z41H-16C)</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3.1.2</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DN75智能闸阀(Z41H-16C)</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3.1.3</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DN63智能闸阀(Z41H-16C)</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3.1.4</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DN50智能闸阀(Z41H-16C)</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3.1.5</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DN40智能闸阀(Z41H-16C)</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3.1.6</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DN32智能闸阀(Z41H-16C)</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3.1.7</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DN15智能闸阀(Q11W-10T DN20)</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400</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3.2</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就峪村</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3.2.1</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DN50闸阀</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3.2.2</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DN40闸阀</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3.2.3</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DN50减压阀</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3.2.4</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DN40减压阀</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3.2.5</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DN15智能闸阀(Q11W-10T DN20)</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86</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施工合同签订之日起120日历天内完成（具体服务起止日期可随合同签订时间相应顺延）</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专门面向中小企业采购，仅限符合《政府采购促进中小企业发展管理办法》（财库〔2020〕46号）条件的企业参与，供应商应填写中小企业声明函并对真实性负责（残疾人福利性单位及监狱企业视同为小型、微型企业）。 2、其他说明事宜 (1)本项目属性：工程。 (2)本项目所属行业类别为：建筑业。按照《中小企业划型标准规定》（工信部联企业[2011]300号文件，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具有履行合同所必需的设备和专业技术能力承诺函.docx 供应商应提交的相关资格证明材料 供应商书面声明函.docx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2023年度或2024年度经会计师事务所审计的审计报告（新成立企业可从成立当年开始提供相对应的财务报表）或其基本存款账户开户银行出具的资信证明（资信证明开具日期为采购公告发布之日后），或财政部门认可的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具有独立承担民事责任能力的企业法人或其他组织，提供合法有效的（三证合一）统一社会信用代码的营业执照等证明文件，供应商需在项目电子化交易系统中按要求上传相应证明文件并进行电子签章；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法定代表人身份证明书及授权书</w:t>
            </w:r>
          </w:p>
        </w:tc>
        <w:tc>
          <w:tcPr>
            <w:tcW w:type="dxa" w:w="3322"/>
          </w:tcPr>
          <w:p>
            <w:pPr>
              <w:pStyle w:val="null3"/>
            </w:pPr>
            <w:r>
              <w:rPr>
                <w:rFonts w:ascii="仿宋_GB2312" w:hAnsi="仿宋_GB2312" w:cs="仿宋_GB2312" w:eastAsia="仿宋_GB2312"/>
              </w:rPr>
              <w:t>法定代表人直接投标须提交法定代表人身份证明书，法定代表人授权代表参加投标的，须出具法定代表人授权书及被授权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法定代表人身份证明书及授权书.docx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须提供2023年度或2024年度经会计师事务所审计的审计报告（新成立企业可从成立当年开始提供相对应的财务报表）或其基本存款账户开户银行出具的资信证明（资信证明开具日期为采购公告发布之日后），或财政部门认可的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税收缴纳凭证</w:t>
            </w:r>
          </w:p>
        </w:tc>
        <w:tc>
          <w:tcPr>
            <w:tcW w:type="dxa" w:w="3322"/>
          </w:tcPr>
          <w:p>
            <w:pPr>
              <w:pStyle w:val="null3"/>
            </w:pPr>
            <w:r>
              <w:rPr>
                <w:rFonts w:ascii="仿宋_GB2312" w:hAnsi="仿宋_GB2312" w:cs="仿宋_GB2312" w:eastAsia="仿宋_GB2312"/>
              </w:rPr>
              <w:t>供应商须提供投标截止时间前十二个月内任意一个月的税收缴纳凭证（注：依法免税或零申报的供应商应提供相关文件证明；若为新成立企业须提供相应月度的缴税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社会保险缴纳凭证</w:t>
            </w:r>
          </w:p>
        </w:tc>
        <w:tc>
          <w:tcPr>
            <w:tcW w:type="dxa" w:w="3322"/>
          </w:tcPr>
          <w:p>
            <w:pPr>
              <w:pStyle w:val="null3"/>
            </w:pPr>
            <w:r>
              <w:rPr>
                <w:rFonts w:ascii="仿宋_GB2312" w:hAnsi="仿宋_GB2312" w:cs="仿宋_GB2312" w:eastAsia="仿宋_GB2312"/>
              </w:rPr>
              <w:t>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建设行政主管部门颁发的水利水电工程施工总承包三级（含三级）以上资质，在有效期内，且具备有效的安全生产许可证（复印件加盖供应商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拟派项目经理资质要求</w:t>
            </w:r>
          </w:p>
        </w:tc>
        <w:tc>
          <w:tcPr>
            <w:tcW w:type="dxa" w:w="3322"/>
          </w:tcPr>
          <w:p>
            <w:pPr>
              <w:pStyle w:val="null3"/>
            </w:pPr>
            <w:r>
              <w:rPr>
                <w:rFonts w:ascii="仿宋_GB2312" w:hAnsi="仿宋_GB2312" w:cs="仿宋_GB2312" w:eastAsia="仿宋_GB2312"/>
              </w:rPr>
              <w:t>拟派项目经理须具备水利水电工程专业二级（含二级）以上注册建造师资质，在有效期内，且具备有效的安全生产考核合格证书（B证），并提供项目经理无其他在建工程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项目经理无在建工程、无不良记录承诺书.docx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供应商须提供具有履行合同所必需的设备和专业技术能力的承诺函(加盖供应商公章)，供应商需在项目电子化交易系统中按要求上传相应证明文件并进行电子签章；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具有履行合同所必需的设备和专业技术能力承诺函.docx 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供应商书面声明函.docx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当天网上查询结果为评审依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财库〔2020〕46号）条件的企业参与，供应商应填写中小企业声明函并对真实性负责（残疾人福利性单位及监狱企业视同为小型、微型企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关联关系承诺书</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单位负责人为同一人或者存在直接控股、管理关系的不同供应商，不得参加同一合同项下的投标活动；供应商需在项目电子化交易系统中按要求上传相应证明文件并进行电子签章。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关联关系承诺书.docx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投标文件中项目名称、项目编号、合同包号与本项目一致，无遗漏；</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中小企业声明函 技术服务合同条款及其他商务要求应答表 供应商应提交的相关资格证明材料 供应商承诺书.docx 强制优先采购产品承诺函 响应文件封面 关联关系承诺书.docx 项目管理机构组成表 技术响应方案.docx 残疾人福利性单位声明函 报价函 标的清单 供应商类似项目业绩一览表 供应商书面声明函.docx 响应函 非联合体投标承诺书.docx 主要人员简历表 法定代表人身份证明书及授权书.docx 监狱企业的证明文件 项目经理无在建工程、无不良记录承诺书.docx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响应文件的签字或盖章</w:t>
            </w:r>
          </w:p>
        </w:tc>
        <w:tc>
          <w:tcPr>
            <w:tcW w:type="dxa" w:w="3322"/>
          </w:tcPr>
          <w:p>
            <w:pPr>
              <w:pStyle w:val="null3"/>
            </w:pPr>
            <w:r>
              <w:rPr>
                <w:rFonts w:ascii="仿宋_GB2312" w:hAnsi="仿宋_GB2312" w:cs="仿宋_GB2312" w:eastAsia="仿宋_GB2312"/>
              </w:rPr>
              <w:t>投标文件签署、盖章及投标有效期符合磋商文件要求；</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中小企业声明函 技术服务合同条款及其他商务要求应答表 供应商应提交的相关资格证明材料 供应商承诺书.docx 强制优先采购产品承诺函 响应文件封面 关联关系承诺书.docx 项目管理机构组成表 技术响应方案.docx 残疾人福利性单位声明函 报价函 标的清单 供应商类似项目业绩一览表 供应商书面声明函.docx 响应函 非联合体投标承诺书.docx 主要人员简历表 法定代表人身份证明书及授权书.docx 监狱企业的证明文件 项目经理无在建工程、无不良记录承诺书.docx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投标报价符合唯一性要求</w:t>
            </w:r>
          </w:p>
        </w:tc>
        <w:tc>
          <w:tcPr>
            <w:tcW w:type="dxa" w:w="3322"/>
          </w:tcPr>
          <w:p>
            <w:pPr>
              <w:pStyle w:val="null3"/>
            </w:pPr>
            <w:r>
              <w:rPr>
                <w:rFonts w:ascii="仿宋_GB2312" w:hAnsi="仿宋_GB2312" w:cs="仿宋_GB2312" w:eastAsia="仿宋_GB2312"/>
              </w:rPr>
              <w:t>投标报价符合唯一性要求；投标报价未超出采购预算或采购最高限价；</w:t>
            </w:r>
          </w:p>
        </w:tc>
        <w:tc>
          <w:tcPr>
            <w:tcW w:type="dxa" w:w="1661"/>
          </w:tcPr>
          <w:p>
            <w:pPr>
              <w:pStyle w:val="null3"/>
            </w:pPr>
            <w:r>
              <w:rPr>
                <w:rFonts w:ascii="仿宋_GB2312" w:hAnsi="仿宋_GB2312" w:cs="仿宋_GB2312" w:eastAsia="仿宋_GB2312"/>
              </w:rPr>
              <w:t>响应文件封面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投标内容与要求</w:t>
            </w:r>
          </w:p>
        </w:tc>
        <w:tc>
          <w:tcPr>
            <w:tcW w:type="dxa" w:w="3322"/>
          </w:tcPr>
          <w:p>
            <w:pPr>
              <w:pStyle w:val="null3"/>
            </w:pPr>
            <w:r>
              <w:rPr>
                <w:rFonts w:ascii="仿宋_GB2312" w:hAnsi="仿宋_GB2312" w:cs="仿宋_GB2312" w:eastAsia="仿宋_GB2312"/>
              </w:rPr>
              <w:t>投标内容未出现漏项；数量与要求相符；</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中小企业声明函 技术服务合同条款及其他商务要求应答表 供应商应提交的相关资格证明材料 供应商承诺书.docx 响应文件封面 关联关系承诺书.docx 项目管理机构组成表 技术响应方案.docx 报价函 标的清单 供应商书面声明函.docx 响应函 非联合体投标承诺书.docx 主要人员简历表 法定代表人身份证明书及授权书.docx 项目经理无在建工程、无不良记录承诺书.docx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“无效投标”的情形及未实质性响应招标文件的情况</w:t>
            </w:r>
          </w:p>
        </w:tc>
        <w:tc>
          <w:tcPr>
            <w:tcW w:type="dxa" w:w="3322"/>
          </w:tcPr>
          <w:p>
            <w:pPr>
              <w:pStyle w:val="null3"/>
            </w:pPr>
            <w:r>
              <w:rPr>
                <w:rFonts w:ascii="仿宋_GB2312" w:hAnsi="仿宋_GB2312" w:cs="仿宋_GB2312" w:eastAsia="仿宋_GB2312"/>
              </w:rPr>
              <w:t>没有出现法律法规或招标文件明确规定的其他被视为“无效投标”的情形及未实质性响应招标文件的情况。</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中小企业声明函 技术服务合同条款及其他商务要求应答表 供应商应提交的相关资格证明材料 供应商承诺书.docx 强制优先采购产品承诺函 响应文件封面 关联关系承诺书.docx 项目管理机构组成表 技术响应方案.docx 报价函 标的清单 供应商书面声明函.docx 响应函 非联合体投标承诺书.docx 主要人员简历表 法定代表人身份证明书及授权书.docx 项目经理无在建工程、无不良记录承诺书.docx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供应商对本项目特性了解透彻，施工方案、方法与技术措施内容全面，方案先进、经济与项目实际结合紧密，对施工具有高度指导性。 评审标准：（1）施工方案专门针对本项目编制，符合项目实际情况及实施要求，内容详尽且涵盖角度全面，合理性和可行性强，能够保障项目顺利实施的，得10分；（2）施工方案能够针对本项目编制，符合项目实际情况及实施要求，内容详尽且涵盖角度基本全面，有一定的合理性和可行性的，得8分；（3）施工方案基本能够针对本项目编制，基本符合项目实际情况及实施要求，内容较宽泛，涵盖角度不够全面，内容基本合理可行的，得6分；（4）具有方案内容但内容未贴合本项目，内容涵盖角度不够全面且实施有难度的，得4分； （5）具有方案内容但内容未针对本项目，内容空洞宽泛，基本不具有可实施性，得2分； （6）未提供施工方案与技术措施内容不得分。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项目施工的重点、难点目标及施工环节方案</w:t>
            </w:r>
          </w:p>
        </w:tc>
        <w:tc>
          <w:tcPr>
            <w:tcW w:type="dxa" w:w="2492"/>
          </w:tcPr>
          <w:p>
            <w:pPr>
              <w:pStyle w:val="null3"/>
            </w:pPr>
            <w:r>
              <w:rPr>
                <w:rFonts w:ascii="仿宋_GB2312" w:hAnsi="仿宋_GB2312" w:cs="仿宋_GB2312" w:eastAsia="仿宋_GB2312"/>
              </w:rPr>
              <w:t>针对项目施工的重点、难点目标及施工环节方案，提出切实可行的专项施工方案（含主要施工方法、组织措施、检验手段等）及应急预案。 评审标准：（1）施工的重点、难点目标及施工环节方案及应急预案专门针对本项目编制，符合项目实际情况及实施要求，内容详尽且涵盖角度全面，合理性和可行性强，能够保障项目顺利实施的，得10分; （2）施工的重点、难点目标及施工环节方案及应急预案基本针对本项目编制，符合项目实际情况及实施要求，内容详尽且涵盖角度基本全面，有一定的合理性和可行性的，得8分; （3）施工的重点、难点目标及施工环节方案及应急预案能够针对本项目编制，基本符合项目实际情况及实施要求，内容较详细，涵盖角度较全面但略有不完善，基本合理可行的，得6分; （4）施工的重点、难点目标及施工环节方案及应急预案内容涵盖角度不够全面且实施具有一定难度，得4分; （5）施工的重点、难点目标及施工环节方案及应急预案内容简单笼统，实施难度大的，得2分; （6）未提供施工的重点、难点目标及施工环节方案及应急预案内容不得分。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供应商针对本项目提供安全生产的技术组织措施，安全目标明确，满足采购人要求；有安保体系，责任明确；安保措施切合实际，满足安全目标要求。 评审标准：（1）安全生产的技术组织措施内容专门针对本项目编制，符合项目实际情况及实施要求，内容详尽且涵盖角度全面，合理性和可行性强，能够保障项目顺利实施的，得10分; （2）安全生产的技术组织措施内容能够针对本项目编制，符合项目实际情况及实施要求，内容详尽且涵盖角度基本全面，有一定的合理性和可行性的，得8分; （3）安全生产的技术组织措施内容基本能够针对本项目编制，基本符合项目实际情况及实施要求，内容较详细，涵盖角度较全面，基本合理可行的，得6分; （4）具有安全生产的技术组织措施内容但措施内容未贴合本项目，措施内容涵盖角度不全面且实施有难度的，得4分; （5）具有安全生产的技术组织措施内容但内容未针对本项目，内容空洞宽泛，可实施性不强，得2分; （6）未提供安全生产的技术组织措施内容不得分。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确保工期的技术组织措施，施工进度计划图示清晰、科学、合理；关键工序控制合理；工期保证措施合理，能够保证总工期。 评审标准：（1）工期的技术组织措施内容专门针对本项目编制，符合项目实际情况及实施要求，内容详尽且涵盖角度全面，合理性和可行性强，能够保障项目顺利实施的，得8分; （2）工期的技术组织措施内容基本能够针对本项目编制，基本符合项目实际情况及实施要求，内容较详细，涵盖角度较全面，基本合理可行的，得6分; （3）具有工期的技术组织措施内容但措施内容未贴合本项目，措施内容涵盖角度不全面且实施有难度的，得4分; （4）具有工期的技术组织措施内容但内容未针对本项目，内容空洞宽泛，可实施性不强，得2分; （5）未提供工期的技术组织措施内容不得分。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供应商针对本项目提供的环境保护、水土保持目标明确，具有预防和动态控制措施及制度。 评审标准：（1）环境保护管理体系与措施内容专门针对本项目编制，符合项目实际情况及实施要求，内容详尽且涵盖角度全面，合理性和可行性强，能够保障项目顺利实施的，得6分; （2）具有环境保护管理体系与措施内容但措施内容未贴合本项目，措施内容涵盖角度不全面且实施有难度的，得4分; （3）具有环境保护管理体系与措施内容但内容未针对本项目，内容空洞宽泛，可实施性不强，得2分; （4）未提供环境保护管理体系与措施内容不得分。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施工设备和材料投入计划</w:t>
            </w:r>
          </w:p>
        </w:tc>
        <w:tc>
          <w:tcPr>
            <w:tcW w:type="dxa" w:w="2492"/>
          </w:tcPr>
          <w:p>
            <w:pPr>
              <w:pStyle w:val="null3"/>
            </w:pPr>
            <w:r>
              <w:rPr>
                <w:rFonts w:ascii="仿宋_GB2312" w:hAnsi="仿宋_GB2312" w:cs="仿宋_GB2312" w:eastAsia="仿宋_GB2312"/>
              </w:rPr>
              <w:t>根据供应商拟用于本项目的主要施工设备和材料投入计划，按其响应程度赋分。 评审标准：（1）投入计划专门针对本项目编制，符合项目实际情况及实施要求，内容详尽且涵盖角度全面，合理性和可行性强，能够保障项目顺利实施的，得5分; （2）投入计划基本针对本项目编制，符合项目实际情况及实施要求，内容详尽且涵盖角度基本全面，有一定的合理性和可行性的，得4分; （3）投入计划能够针对本项目编制，基本符合项目实际情况及实施要求，内容较详细，涵盖角度较全面但略有不完善，基本合理可行的，得3分; （4）提供投入计划，但内容涵盖角度不够全面且实施具有一定难度，得2分; （5）投入计划内容简单笼统，实施难度大的，得1分; （6）未提供投入计划内容不得分。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项目部组成人员</w:t>
            </w:r>
          </w:p>
        </w:tc>
        <w:tc>
          <w:tcPr>
            <w:tcW w:type="dxa" w:w="2492"/>
          </w:tcPr>
          <w:p>
            <w:pPr>
              <w:pStyle w:val="null3"/>
            </w:pPr>
            <w:r>
              <w:rPr>
                <w:rFonts w:ascii="仿宋_GB2312" w:hAnsi="仿宋_GB2312" w:cs="仿宋_GB2312" w:eastAsia="仿宋_GB2312"/>
              </w:rPr>
              <w:t>主要专业技术人员、管理人员的配备：项目经理部的机构设置合理，配备有①项目经理、②技术总工、③施工员、④安全员、⑤专职质检员、⑥材料员、⑦财务负责人、⑧造价员等人员，满足工程需要者得8分；每缺少一项扣 1 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保修服务措施及承诺</w:t>
            </w:r>
          </w:p>
        </w:tc>
        <w:tc>
          <w:tcPr>
            <w:tcW w:type="dxa" w:w="2492"/>
          </w:tcPr>
          <w:p>
            <w:pPr>
              <w:pStyle w:val="null3"/>
            </w:pPr>
            <w:r>
              <w:rPr>
                <w:rFonts w:ascii="仿宋_GB2312" w:hAnsi="仿宋_GB2312" w:cs="仿宋_GB2312" w:eastAsia="仿宋_GB2312"/>
              </w:rPr>
              <w:t>根据本项目实际需求，有详细的保修服务措施及承诺，保修服务条款具体、可行。 评审标准：（1）内容完善、科学、合理、针对性强得3分；（2）内容基本合理、可行得2分；（3）内容未针对本项目，内容空洞宽泛，可实施性不强，得1分;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供应商近三年（2022年1月1日至今）具有类似项目业绩，一项得2.5分，最高10分，未提供不得分（需提供合同复印件并加盖公章，时间以合同签订时间为准）。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价格分采用低价优先法计算，即满足竞争性磋商文件要求且最终报价最低的磋商报价作为评标基准价，其价格分为满分。其他投标人的价格分统一按照下列公式计算： 报价得分=（评标基准价/磋商报价）×价格权重×100 说明：本项目为专门面向中小企业项目，因此不再执行价格评审优惠扶持政策。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详见附件：法定代表人身份证明书及授权书.docx</w:t>
      </w:r>
    </w:p>
    <w:p>
      <w:pPr>
        <w:pStyle w:val="null3"/>
        <w:ind w:firstLine="960"/>
      </w:pPr>
      <w:r>
        <w:rPr>
          <w:rFonts w:ascii="仿宋_GB2312" w:hAnsi="仿宋_GB2312" w:cs="仿宋_GB2312" w:eastAsia="仿宋_GB2312"/>
        </w:rPr>
        <w:t>详见附件：非联合体投标承诺书.docx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详见附件：供应商书面声明函.docx</w:t>
      </w:r>
    </w:p>
    <w:p>
      <w:pPr>
        <w:pStyle w:val="null3"/>
        <w:ind w:firstLine="960"/>
      </w:pPr>
      <w:r>
        <w:rPr>
          <w:rFonts w:ascii="仿宋_GB2312" w:hAnsi="仿宋_GB2312" w:cs="仿宋_GB2312" w:eastAsia="仿宋_GB2312"/>
        </w:rPr>
        <w:t>详见附件：关联关系承诺书.docx</w:t>
      </w:r>
    </w:p>
    <w:p>
      <w:pPr>
        <w:pStyle w:val="null3"/>
        <w:ind w:firstLine="960"/>
      </w:pPr>
      <w:r>
        <w:rPr>
          <w:rFonts w:ascii="仿宋_GB2312" w:hAnsi="仿宋_GB2312" w:cs="仿宋_GB2312" w:eastAsia="仿宋_GB2312"/>
        </w:rPr>
        <w:t>详见附件：技术响应方案.docx</w:t>
      </w:r>
    </w:p>
    <w:p>
      <w:pPr>
        <w:pStyle w:val="null3"/>
        <w:ind w:firstLine="960"/>
      </w:pPr>
      <w:r>
        <w:rPr>
          <w:rFonts w:ascii="仿宋_GB2312" w:hAnsi="仿宋_GB2312" w:cs="仿宋_GB2312" w:eastAsia="仿宋_GB2312"/>
        </w:rPr>
        <w:t>详见附件：具有履行合同所必需的设备和专业技术能力承诺函.docx</w:t>
      </w:r>
    </w:p>
    <w:p>
      <w:pPr>
        <w:pStyle w:val="null3"/>
        <w:ind w:firstLine="960"/>
      </w:pPr>
      <w:r>
        <w:rPr>
          <w:rFonts w:ascii="仿宋_GB2312" w:hAnsi="仿宋_GB2312" w:cs="仿宋_GB2312" w:eastAsia="仿宋_GB2312"/>
        </w:rPr>
        <w:t>详见附件：项目经理无在建工程、无不良记录承诺书.docx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详见附件：拟签订的施工合同模板.docx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