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版本号：ZYCG-2025072020250728003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杨哑路改建工程项目房屋租赁</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ZYCG-20250720</w:t>
      </w:r>
      <w:r>
        <w:br/>
      </w:r>
      <w:r>
        <w:br/>
      </w:r>
      <w:r>
        <w:br/>
      </w:r>
    </w:p>
    <w:p>
      <w:pPr>
        <w:pStyle w:val="null3"/>
        <w:jc w:val="center"/>
        <w:outlineLvl w:val="2"/>
      </w:pPr>
      <w:r>
        <w:rPr>
          <w:rFonts w:ascii="仿宋_GB2312" w:hAnsi="仿宋_GB2312" w:cs="仿宋_GB2312" w:eastAsia="仿宋_GB2312"/>
          <w:sz w:val="28"/>
          <w:b/>
        </w:rPr>
        <w:t>西安市周至县交通局（本级）</w:t>
      </w:r>
    </w:p>
    <w:p>
      <w:pPr>
        <w:pStyle w:val="null3"/>
        <w:jc w:val="center"/>
        <w:outlineLvl w:val="2"/>
      </w:pPr>
      <w:r>
        <w:rPr>
          <w:rFonts w:ascii="仿宋_GB2312" w:hAnsi="仿宋_GB2312" w:cs="仿宋_GB2312" w:eastAsia="仿宋_GB2312"/>
          <w:sz w:val="28"/>
          <w:b/>
        </w:rPr>
        <w:t>陕西中源项目管理有限公司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西安市周至县交通局（本级）</w:t>
      </w:r>
      <w:r>
        <w:rPr>
          <w:rFonts w:ascii="仿宋_GB2312" w:hAnsi="仿宋_GB2312" w:cs="仿宋_GB2312" w:eastAsia="仿宋_GB2312"/>
        </w:rPr>
        <w:t>委托，拟对</w:t>
      </w:r>
      <w:r>
        <w:rPr>
          <w:rFonts w:ascii="仿宋_GB2312" w:hAnsi="仿宋_GB2312" w:cs="仿宋_GB2312" w:eastAsia="仿宋_GB2312"/>
        </w:rPr>
        <w:t>杨哑路改建工程项目房屋租赁</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ZYCG-20250720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杨哑路改建工程项目房屋租赁</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杨哑路改建工程项目房屋租赁，用于杨哑路改建工程征地拆迁工作。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采购包1（杨哑路改建工程项目房屋租赁）：属于专门面向中小企业采购。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1、具有独立承担民事责任的能力：具有独立承担民事责任的能力：具有独立承担民事责任能力的法人、其他组织 或自然人，企业法人提供营业执照、组织机构 代码证、税务登记证（或统一社会信用代码的 营业执照）；事业法人应提供事业单位法人证 ；其他组织应提供合法证明文件；自然人提供 身份证；</w:t>
      </w:r>
    </w:p>
    <w:p>
      <w:pPr>
        <w:pStyle w:val="null3"/>
      </w:pPr>
      <w:r>
        <w:rPr>
          <w:rFonts w:ascii="仿宋_GB2312" w:hAnsi="仿宋_GB2312" w:cs="仿宋_GB2312" w:eastAsia="仿宋_GB2312"/>
        </w:rPr>
        <w:t>2、供应商授权合法的人员参加投标全过程：供应商授权合法的人员参加投标全过程：法定代表人直接参加磋商的，须出具法定代表人身份证明及法定代表人身份证；法定代表人授权代表参加磋商的，须出具法定代表人授权书及授权代表身份证；</w:t>
      </w:r>
    </w:p>
    <w:p>
      <w:pPr>
        <w:pStyle w:val="null3"/>
      </w:pPr>
      <w:r>
        <w:rPr>
          <w:rFonts w:ascii="仿宋_GB2312" w:hAnsi="仿宋_GB2312" w:cs="仿宋_GB2312" w:eastAsia="仿宋_GB2312"/>
        </w:rPr>
        <w:t>3、财务状况报告：财务状况报告：提供2024年度的财务会计报告（至少包括资产负债表和利润表，成立时间至提交首次响应文件截止时间不足一年的可提供成立后任意时段的资产负债表），或开标前三个月内基本开户银行出具的资信证明（附基本存款账户信息）；</w:t>
      </w:r>
    </w:p>
    <w:p>
      <w:pPr>
        <w:pStyle w:val="null3"/>
      </w:pPr>
      <w:r>
        <w:rPr>
          <w:rFonts w:ascii="仿宋_GB2312" w:hAnsi="仿宋_GB2312" w:cs="仿宋_GB2312" w:eastAsia="仿宋_GB2312"/>
        </w:rPr>
        <w:t>4、税收缴纳证明：税收缴纳证明：提供2025年1月1日至今已缴纳的至少一个月的纳税证明或完税证明（任意税种），依法免税的单位应提供相关证明材料</w:t>
      </w:r>
    </w:p>
    <w:p>
      <w:pPr>
        <w:pStyle w:val="null3"/>
      </w:pPr>
      <w:r>
        <w:rPr>
          <w:rFonts w:ascii="仿宋_GB2312" w:hAnsi="仿宋_GB2312" w:cs="仿宋_GB2312" w:eastAsia="仿宋_GB2312"/>
        </w:rPr>
        <w:t>5、无重大违法记录的声明：无重大违法记录的声明：参加政府采购活动前3年内在经营活动中没有重大违法记录的书面声明。</w:t>
      </w:r>
    </w:p>
    <w:p>
      <w:pPr>
        <w:pStyle w:val="null3"/>
      </w:pPr>
      <w:r>
        <w:rPr>
          <w:rFonts w:ascii="仿宋_GB2312" w:hAnsi="仿宋_GB2312" w:cs="仿宋_GB2312" w:eastAsia="仿宋_GB2312"/>
        </w:rPr>
        <w:t>6、信用记录：信用记录：供应商不得为“信用中国”网站（www.creditchi na.gov.cn）中列入失信被执行人和重大税收违 法案件当事人名单，不得为中国政府采购网（w ww.ccgp.gov.cn）政府采购严重违法失信行为 记录名单。</w:t>
      </w:r>
    </w:p>
    <w:p>
      <w:pPr>
        <w:pStyle w:val="null3"/>
      </w:pPr>
      <w:r>
        <w:rPr>
          <w:rFonts w:ascii="仿宋_GB2312" w:hAnsi="仿宋_GB2312" w:cs="仿宋_GB2312" w:eastAsia="仿宋_GB2312"/>
        </w:rPr>
        <w:t>7、非联合体磋商：非联合体磋商：本项目不接受联合体磋商，提供书面承诺。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西安市周至县交通局（本级）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周至县中心东街18号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029-87119598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陕西省西安市莲湖区未央路99号荣民中央国际10层1012室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15332467421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代理服务费收费标准：代理服务费由成交供应商按照国家计委颁布的《招标代理服务收费管理暂行办法》（计价格『2002』1980号）文中规定的收费标准向采购代理机构一次性全额支付。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西安市周至县交通局（本级）</w:t>
      </w:r>
      <w:r>
        <w:rPr>
          <w:rFonts w:ascii="仿宋_GB2312" w:hAnsi="仿宋_GB2312" w:cs="仿宋_GB2312" w:eastAsia="仿宋_GB2312"/>
        </w:rPr>
        <w:t>和</w:t>
      </w:r>
      <w:r>
        <w:rPr>
          <w:rFonts w:ascii="仿宋_GB2312" w:hAnsi="仿宋_GB2312" w:cs="仿宋_GB2312" w:eastAsia="仿宋_GB2312"/>
        </w:rPr>
        <w:t>陕西中源项目管理有限公司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西安市周至县交通局（本级）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西安市周至县交通局（本级）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联系电话：15332467421</w:t>
      </w:r>
    </w:p>
    <w:p>
      <w:pPr>
        <w:pStyle w:val="null3"/>
      </w:pPr>
      <w:r>
        <w:rPr>
          <w:rFonts w:ascii="仿宋_GB2312" w:hAnsi="仿宋_GB2312" w:cs="仿宋_GB2312" w:eastAsia="仿宋_GB2312"/>
        </w:rPr>
        <w:t>地址：陕西省西安市莲湖区未央路99号荣民中央国际10层1012室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杨哑路改建工程项目房屋租赁，用于杨哑路改建工程征地拆迁工作。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462,000.00</w:t>
      </w:r>
    </w:p>
    <w:p>
      <w:pPr>
        <w:pStyle w:val="null3"/>
      </w:pPr>
      <w:r>
        <w:rPr>
          <w:rFonts w:ascii="仿宋_GB2312" w:hAnsi="仿宋_GB2312" w:cs="仿宋_GB2312" w:eastAsia="仿宋_GB2312"/>
        </w:rPr>
        <w:t>采购包最高限价（元）: 462,000.00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sz w:val="24"/>
                    </w:rPr>
                    <w:t>1、项目名称：</w:t>
                  </w:r>
                  <w:r>
                    <w:rPr>
                      <w:rFonts w:ascii="仿宋_GB2312" w:hAnsi="仿宋_GB2312" w:cs="仿宋_GB2312" w:eastAsia="仿宋_GB2312"/>
                      <w:sz w:val="24"/>
                    </w:rPr>
                    <w:t>杨哑路改建工程项目房屋租赁</w:t>
                  </w:r>
                  <w:r>
                    <w:rPr>
                      <w:rFonts w:ascii="仿宋_GB2312" w:hAnsi="仿宋_GB2312" w:cs="仿宋_GB2312" w:eastAsia="仿宋_GB2312"/>
                      <w:sz w:val="19"/>
                    </w:rPr>
                    <w:t xml:space="preserve"> </w:t>
                  </w:r>
                </w:p>
                <w:p>
                  <w:pPr>
                    <w:pStyle w:val="null3"/>
                    <w:ind w:firstLine="480"/>
                    <w:jc w:val="both"/>
                  </w:pPr>
                  <w:r>
                    <w:rPr>
                      <w:rFonts w:ascii="仿宋_GB2312" w:hAnsi="仿宋_GB2312" w:cs="仿宋_GB2312" w:eastAsia="仿宋_GB2312"/>
                      <w:sz w:val="24"/>
                    </w:rPr>
                    <w:t>2、采购人：周至县交通运输局</w:t>
                  </w:r>
                </w:p>
                <w:p>
                  <w:pPr>
                    <w:pStyle w:val="null3"/>
                    <w:ind w:firstLine="480"/>
                    <w:jc w:val="both"/>
                  </w:pPr>
                  <w:r>
                    <w:rPr>
                      <w:rFonts w:ascii="仿宋_GB2312" w:hAnsi="仿宋_GB2312" w:cs="仿宋_GB2312" w:eastAsia="仿宋_GB2312"/>
                      <w:sz w:val="24"/>
                    </w:rPr>
                    <w:t>3、最高限价：462000.00元</w:t>
                  </w:r>
                </w:p>
                <w:p>
                  <w:pPr>
                    <w:pStyle w:val="null3"/>
                    <w:jc w:val="both"/>
                  </w:pPr>
                  <w:r>
                    <w:rPr>
                      <w:rFonts w:ascii="仿宋_GB2312" w:hAnsi="仿宋_GB2312" w:cs="仿宋_GB2312" w:eastAsia="仿宋_GB2312"/>
                      <w:sz w:val="28"/>
                      <w:b/>
                    </w:rPr>
                    <w:t>二、采购内容要求</w:t>
                  </w:r>
                </w:p>
                <w:p>
                  <w:pPr>
                    <w:pStyle w:val="null3"/>
                    <w:ind w:firstLine="480"/>
                    <w:jc w:val="left"/>
                  </w:pPr>
                  <w:r>
                    <w:rPr>
                      <w:rFonts w:ascii="仿宋_GB2312" w:hAnsi="仿宋_GB2312" w:cs="仿宋_GB2312" w:eastAsia="仿宋_GB2312"/>
                      <w:sz w:val="24"/>
                    </w:rPr>
                    <w:t>服务内容包含：确定一家中标供应商，为采购人提供办公用房及专业技术用房租赁服务。</w:t>
                  </w:r>
                </w:p>
                <w:p>
                  <w:pPr>
                    <w:pStyle w:val="null3"/>
                    <w:ind w:firstLine="480"/>
                    <w:jc w:val="left"/>
                  </w:pPr>
                  <w:r>
                    <w:rPr>
                      <w:rFonts w:ascii="仿宋_GB2312" w:hAnsi="仿宋_GB2312" w:cs="仿宋_GB2312" w:eastAsia="仿宋_GB2312"/>
                      <w:sz w:val="24"/>
                    </w:rPr>
                    <w:t>面积：出租房屋建筑面积需满足办公用房使用。</w:t>
                  </w:r>
                </w:p>
                <w:p>
                  <w:pPr>
                    <w:pStyle w:val="null3"/>
                    <w:jc w:val="both"/>
                  </w:pPr>
                  <w:r>
                    <w:rPr>
                      <w:rFonts w:ascii="仿宋_GB2312" w:hAnsi="仿宋_GB2312" w:cs="仿宋_GB2312" w:eastAsia="仿宋_GB2312"/>
                      <w:sz w:val="28"/>
                      <w:b/>
                    </w:rPr>
                    <w:t>三、合同履行期限、租赁地点</w:t>
                  </w:r>
                </w:p>
                <w:p>
                  <w:pPr>
                    <w:pStyle w:val="null3"/>
                    <w:ind w:firstLine="480"/>
                    <w:jc w:val="both"/>
                  </w:pPr>
                  <w:r>
                    <w:rPr>
                      <w:rFonts w:ascii="仿宋_GB2312" w:hAnsi="仿宋_GB2312" w:cs="仿宋_GB2312" w:eastAsia="仿宋_GB2312"/>
                      <w:sz w:val="24"/>
                    </w:rPr>
                    <w:t>合同履行期限：</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10月至202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9月</w:t>
                  </w:r>
                </w:p>
                <w:p>
                  <w:pPr>
                    <w:pStyle w:val="null3"/>
                    <w:ind w:firstLine="480"/>
                    <w:jc w:val="both"/>
                  </w:pPr>
                  <w:r>
                    <w:rPr>
                      <w:rFonts w:ascii="仿宋_GB2312" w:hAnsi="仿宋_GB2312" w:cs="仿宋_GB2312" w:eastAsia="仿宋_GB2312"/>
                      <w:sz w:val="24"/>
                    </w:rPr>
                    <w:t>租赁地点：西安市周至县</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2025年10月至2026年9月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西安市周至县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根据合同，按照《中华人民共和国民法典》中的相关条款执行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具有独立承担民事责任的能力：具有独立承担民事责任能力的法人、其他组织 或自然人，企业法人提供营业执照、组织机构 代码证、税务登记证（或统一社会信用代码的 营业执照）；事业法人应提供事业单位法人证 ；其他组织应提供合法证明文件；自然人提供 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供应商授权合法的人员参加投标全过程：法定代表人直接参加磋商的，须出具法定代表人身份证明及法定代表人身份证；法定代表人授权代表参加磋商的，须出具法定代表人授权书及授权代表身份证；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授权委托书.docx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的财务会计报告（至少包括资产负债表和利润表，成立时间至提交首次响应文件截止时间不足一年的可提供成立后任意时段的资产负债表），或开标前三个月内基本开户银行出具的资信证明（附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税收缴纳证明：提供2025年1月1日至今已缴纳的至少一个月的纳税证明或完税证明（任意税种），依法免税的单位应提供相关证明材料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无重大违法记录的声明：参加政府采购活动前3年内在经营活动中没有重大违法记录的书面声明。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信用记录：供应商不得为“信用中国”网站（www.creditchi na.gov.cn）中列入失信被执行人和重大税收违 法案件当事人名单，不得为中国政府采购网（w ww.ccgp.gov.cn）政府采购严重违法失信行为 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非联合体磋商：本项目不接受联合体磋商，提供书面承诺。</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 完全一致： （1）竞争性磋商响应文件封面 （2 ）响应函 （3）授权委托书\身份证明</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 服务内容及服务邀请应答表 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 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授权委托书.docx 商务应答表 供应商应提交的相关资格证明材料 报价表 响应文件封面 供应商认为有必要补充说明的事项.docx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服务内容及服务邀请应答表 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 磋商文件要求 （2）报价符合唯一性要求 （3） 未超出采购预算或最高限价。</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租赁服务方案</w:t>
            </w:r>
          </w:p>
        </w:tc>
        <w:tc>
          <w:tcPr>
            <w:tcW w:type="dxa" w:w="2492"/>
          </w:tcPr>
          <w:p>
            <w:pPr>
              <w:pStyle w:val="null3"/>
            </w:pPr>
            <w:r>
              <w:rPr>
                <w:rFonts w:ascii="仿宋_GB2312" w:hAnsi="仿宋_GB2312" w:cs="仿宋_GB2312" w:eastAsia="仿宋_GB2312"/>
              </w:rPr>
              <w:t>针对本项目提供以下四项租赁服务方案内容①根据出租人对本项目的了解情况②针对出租房屋有合理规划③房屋状况描述④房屋地理位置规划描述；服务方案案详细合理，可行性强得15-20分； 服务方案较详细，可行性较强得7-15分； 服务方案混乱，可行性差得0-7分。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针对本项目提供以下四项保障措施内容①租赁区域、公共部位和共用设施设备等环境整洁②管道巡查流程及维护③租赁区域安全保障措施（包含但不限于燃气、电路、等）④服务保障承诺（包括但不限于租赁期限、租金和付款时间）等；措施详细合理，可行性强得10-16分； 保障措施较详细，可行性较强得5-10分； 保障措施可行性差得0-5分。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针对投标人提供以下三项服务承诺①服务内容、方式；②服务响应时间；③管理及质量保证承诺。案详细合理，可行性强得4-6分； 服务承诺较详细，可行性较强得2-4分； 服务承诺混乱，可行性差得0-2分。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设备保障措施</w:t>
            </w:r>
          </w:p>
        </w:tc>
        <w:tc>
          <w:tcPr>
            <w:tcW w:type="dxa" w:w="2492"/>
          </w:tcPr>
          <w:p>
            <w:pPr>
              <w:pStyle w:val="null3"/>
            </w:pPr>
            <w:r>
              <w:rPr>
                <w:rFonts w:ascii="仿宋_GB2312" w:hAnsi="仿宋_GB2312" w:cs="仿宋_GB2312" w:eastAsia="仿宋_GB2312"/>
              </w:rPr>
              <w:t>提供完善、合理、可行的设备保障措施。根据措施内容详细度：保障措施实用、齐全、具体、可行，计10-15分。 保障措施较实用、较齐全、较可行计5-10分。保障措施笼统、可行性差计0- 5分。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方案交接</w:t>
            </w:r>
          </w:p>
        </w:tc>
        <w:tc>
          <w:tcPr>
            <w:tcW w:type="dxa" w:w="2492"/>
          </w:tcPr>
          <w:p>
            <w:pPr>
              <w:pStyle w:val="null3"/>
            </w:pPr>
            <w:r>
              <w:rPr>
                <w:rFonts w:ascii="仿宋_GB2312" w:hAnsi="仿宋_GB2312" w:cs="仿宋_GB2312" w:eastAsia="仿宋_GB2312"/>
              </w:rPr>
              <w:t>针对房屋租赁时交接与退租时的实施方案合理、可行，根据 方案完整度评分。方案交接合理、可行，计 5-8 分；方案交接较合理、较可行计 3-5 分；方案交接粗略，可行性差，计 0-3 分； 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相关有效证件</w:t>
            </w:r>
          </w:p>
        </w:tc>
        <w:tc>
          <w:tcPr>
            <w:tcW w:type="dxa" w:w="2492"/>
          </w:tcPr>
          <w:p>
            <w:pPr>
              <w:pStyle w:val="null3"/>
            </w:pPr>
            <w:r>
              <w:rPr>
                <w:rFonts w:ascii="仿宋_GB2312" w:hAnsi="仿宋_GB2312" w:cs="仿宋_GB2312" w:eastAsia="仿宋_GB2312"/>
              </w:rPr>
              <w:t>提供本项目租用房的相关有效证件，包括但不限于《房地产权证》、购房协议、房屋租赁合同和租赁方的营业执照等，以及其他相关证明材料，按其响应程度计 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供应商具有处理突发事件（如安全、停水、停电、防火和应急设 备等）的应急方案，按其响应程度计0～10分。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提供近三年（2022年7月至今）完成的同类项目业绩（以中标通知书或合同签订时间为准）提供一项得 2.5分，最高得 5分。业绩证明以响应文件中的合同复印件或中标通知书复印件为准；弄虚作假者取消其投标资格）；未提供者不得分。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1.经初审合格的磋商响应文件，其磋商报价为有效磋商报价2.满足竞争性磋商文件实质性要求且最终报价最低的供应商的价格为评标 基准价，其价格分为满分15分。 3. 投标报价得分=（评标基准价/投标 报价）×15的公式计算得分。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