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版本号：PZZX-25-ZZB00220250725001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周至县竹峪镇东大墙村六组崩塌治理工程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PZZX-25-ZZB002</w:t>
      </w:r>
      <w:r>
        <w:br/>
      </w:r>
      <w:r>
        <w:br/>
      </w:r>
      <w:r>
        <w:br/>
      </w:r>
    </w:p>
    <w:p>
      <w:pPr>
        <w:pStyle w:val="null3"/>
        <w:jc w:val="center"/>
        <w:outlineLvl w:val="2"/>
      </w:pPr>
      <w:r>
        <w:rPr>
          <w:rFonts w:ascii="仿宋_GB2312" w:hAnsi="仿宋_GB2312" w:cs="仿宋_GB2312" w:eastAsia="仿宋_GB2312"/>
          <w:sz w:val="28"/>
          <w:b/>
        </w:rPr>
        <w:t>周至县自然资源和规划局</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周至县自然资源和规划局</w:t>
      </w:r>
      <w:r>
        <w:rPr>
          <w:rFonts w:ascii="仿宋_GB2312" w:hAnsi="仿宋_GB2312" w:cs="仿宋_GB2312" w:eastAsia="仿宋_GB2312"/>
        </w:rPr>
        <w:t>委托，拟对</w:t>
      </w:r>
      <w:r>
        <w:rPr>
          <w:rFonts w:ascii="仿宋_GB2312" w:hAnsi="仿宋_GB2312" w:cs="仿宋_GB2312" w:eastAsia="仿宋_GB2312"/>
        </w:rPr>
        <w:t>周至县竹峪镇东大墙村六组崩塌治理工程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PZZX-25-ZZB002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周至县竹峪镇东大墙村六组崩塌治理工程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周至县竹峪镇东大墙村六组崩塌治理工程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采购包1（周至县竹峪镇东大墙村六组崩塌治理工程）：属于专门面向中小企业采购。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7、供应商资质要求：供应商须具备地质灾害治理工程施工乙级以上资质（含乙级）且具有有效的安全生产许可证；</w:t>
      </w:r>
    </w:p>
    <w:p>
      <w:pPr>
        <w:pStyle w:val="null3"/>
      </w:pPr>
      <w:r>
        <w:rPr>
          <w:rFonts w:ascii="仿宋_GB2312" w:hAnsi="仿宋_GB2312" w:cs="仿宋_GB2312" w:eastAsia="仿宋_GB2312"/>
        </w:rPr>
        <w:t>8、项目负责人资质：拟派项目负责人具有水利水电工程或建筑工程专业二级及以上注册建造师证书和有效的安全生产考核合格证书（B证），在本单位注册且无在建项目（提供无在建承诺书）,且具有“水文地质、工程地质与环境地质”中级及以上专业技术职称；</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周至县云塔南路1号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周至县自然资源和规划局经办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87110825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刘会敏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17792465249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采购包1：3,080,290.00元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周至县自然资源和规划局</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联系人：刘会敏</w:t>
      </w:r>
    </w:p>
    <w:p>
      <w:pPr>
        <w:pStyle w:val="null3"/>
      </w:pPr>
      <w:r>
        <w:rPr>
          <w:rFonts w:ascii="仿宋_GB2312" w:hAnsi="仿宋_GB2312" w:cs="仿宋_GB2312" w:eastAsia="仿宋_GB2312"/>
        </w:rPr>
        <w:t>联系电话：17792465249</w:t>
      </w:r>
    </w:p>
    <w:p>
      <w:pPr>
        <w:pStyle w:val="null3"/>
      </w:pPr>
      <w:r>
        <w:rPr>
          <w:rFonts w:ascii="仿宋_GB2312" w:hAnsi="仿宋_GB2312" w:cs="仿宋_GB2312" w:eastAsia="仿宋_GB2312"/>
        </w:rPr>
        <w:t>地址：陕西省西安市经济技术开发区长和国际 A 座 1502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3,080,290.00</w:t>
      </w:r>
    </w:p>
    <w:p>
      <w:pPr>
        <w:pStyle w:val="null3"/>
      </w:pPr>
      <w:r>
        <w:rPr>
          <w:rFonts w:ascii="仿宋_GB2312" w:hAnsi="仿宋_GB2312" w:cs="仿宋_GB2312" w:eastAsia="仿宋_GB2312"/>
        </w:rPr>
        <w:t>采购包最高限价（元）: 3,080,290.00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周至县竹峪镇东大墙村六组崩塌治理工程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3,080,290.00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标的名称：周至县竹峪镇东大墙村六组崩塌治理工程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2"/>
              </w:rPr>
              <w:t>1、施工范围：详见工程量清单及图纸（图纸与工程量清单不符时，以工程量清单为准）</w:t>
            </w:r>
          </w:p>
          <w:p>
            <w:pPr>
              <w:pStyle w:val="null3"/>
              <w:jc w:val="left"/>
            </w:pPr>
            <w:r>
              <w:rPr>
                <w:rFonts w:ascii="仿宋_GB2312" w:hAnsi="仿宋_GB2312" w:cs="仿宋_GB2312" w:eastAsia="仿宋_GB2312"/>
                <w:sz w:val="12"/>
              </w:rPr>
              <w:t>2、质量标准：符合国家现行有关施工质量验收规范“合格”要求标准</w:t>
            </w:r>
          </w:p>
          <w:p>
            <w:pPr>
              <w:pStyle w:val="null3"/>
              <w:jc w:val="left"/>
            </w:pPr>
            <w:r>
              <w:rPr>
                <w:rFonts w:ascii="仿宋_GB2312" w:hAnsi="仿宋_GB2312" w:cs="仿宋_GB2312" w:eastAsia="仿宋_GB2312"/>
                <w:sz w:val="12"/>
              </w:rPr>
              <w:t>3、工期：自合同签订之日起120日历天</w:t>
            </w:r>
          </w:p>
          <w:p>
            <w:pPr>
              <w:pStyle w:val="null3"/>
              <w:jc w:val="left"/>
            </w:pPr>
            <w:r>
              <w:rPr>
                <w:rFonts w:ascii="仿宋_GB2312" w:hAnsi="仿宋_GB2312" w:cs="仿宋_GB2312" w:eastAsia="仿宋_GB2312"/>
                <w:sz w:val="12"/>
              </w:rPr>
              <w:t>4、质保期：工程终验通过后一年</w:t>
            </w:r>
          </w:p>
          <w:p>
            <w:pPr>
              <w:pStyle w:val="null3"/>
              <w:jc w:val="left"/>
            </w:pPr>
            <w:r>
              <w:rPr>
                <w:rFonts w:ascii="仿宋_GB2312" w:hAnsi="仿宋_GB2312" w:cs="仿宋_GB2312" w:eastAsia="仿宋_GB2312"/>
                <w:sz w:val="12"/>
              </w:rPr>
              <w:t>5、工程预备费：118472.74元（为不可竞争费用）</w:t>
            </w:r>
          </w:p>
          <w:p>
            <w:pPr>
              <w:pStyle w:val="null3"/>
              <w:jc w:val="both"/>
            </w:pPr>
            <w:r>
              <w:rPr>
                <w:rFonts w:ascii="仿宋_GB2312" w:hAnsi="仿宋_GB2312" w:cs="仿宋_GB2312" w:eastAsia="仿宋_GB2312"/>
                <w:sz w:val="12"/>
              </w:rPr>
              <w:t>5、其他需说明的事项:软件版本号：陕西易投SXYT-V3.0（20250512）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供应商须具备地质灾害治理工程施工乙级以上资质（含乙级）且具有有效的安全生产许可证；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拟派项目负责人具有水利水电工程或建筑工程专业二级及以上注册建造师证书和有效的安全生产考核合格证书（B证），在本单位注册且无在建项目（提供无在建承诺书）,且具有“水文地质、工程地质与环境地质”中级及以上专业技术职称；</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陕西省政府采购供应商拒绝政府采购领域商业贿赂承诺书.docx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陕西省政府采购供应商拒绝政府采购领域商业贿赂承诺书.docx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 工 部 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 工 进 度 计 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 道图②进度计划保证措施③工期保证措施。 二、评审标准 1、完整性：方案必须全面，对 评审内容中的各项要求有详细描述； 2、可实施性：切合本项目实际情况，提出步骤清晰 、合理的方案； 3、针对性：方案能够紧扣项目实际情况，内容科学合理。 三、赋分标准 （满分9分） ①施工进度计划图：每完全满足一个评审标准得1分，满分3分； ②进度计划 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 工 方 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 施②工程施工方法③施工质量通病防治措施。 二、评审标准 1、完整性：方案必须全面， 对评审内容中的各项要求有详细描述； 2、可实施性：切合本项目实际情况，提出步骤清 晰、合理的方案； 3、针对性：方案能够紧扣项目实际情况，内容科学合理。 三、赋分标准（15分） ①工程重难点及解决措施：每完全满足一个评审标准得2分，满分6分； ②工 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一、评审内容供应商针对本项目编制完善的质量保证措施，内容包含：①质量目标管理体 系②施工质量的检验制度③确保质量的技术组织措施④施工质量控制措施。 二、评审标准 1、完整性：方案必须全面，对评审内容中的各项要求有详细描述； 2、可实施性：切合 本项目实际情况，提出步骤清晰、合理的方案； 3、针对性：方案能够紧扣项目实际情况 ，内容科学合理。 三、赋分标准（满分6分） ①质量目标管理体系：每完全满足一个评审 标准得0.5分，满分1.5分； ②施工质量检验制度：每完全满足一个评审标准得0.5分，满 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 全 文 明 施 工 措 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供应商针对本项目编制完整的安全施工措施，内容包含：①安全生产管理制度②安全文明施工措施③安全应急预案④安全生产教育。 二、评审标准 1、完整性：方案 必须全面，对评审内容中的各项要求有详细描述； 2、可实施性：切合本项目实际情况， 提出步骤清晰、合理的方案； 3、针对性：方案能够紧扣项目实际情况，内容科学合理。 三、赋分标准（满分6分） ①安全生产管理制度：每完全满足一个评审标准得0.5分，满 分1.5分； ②安全文明施工措施：每完全满足一个评审标准得0.5分，满分1.5分； ③安全 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 目 管 理 机 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 计划及管理人员证书②组织机构的岗位职责。 二、评审标准 1、完整性：方案必须全面， 对评审内容中的各项要求有详细描述； 2、可实施性：切合本项目实际情况，提出步骤清 晰、合理的方案； 3、针对性：方案能够紧扣项目实际情况，内容科学合理。 三、赋分标 准（满分12分） ①管理机构的配备计划：每完全满足一个评审标准得2分，满分6分； ② 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 材 料 新 工 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 工 承 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 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