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版本号：SXZCZB2025ZZ-ZCCS-0701.1B120250730001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2025年为“政府补贴人群“老年人购买意外伤害保险(二次)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SXZCZB2025ZZ-ZCCS-0701.1B1</w:t>
      </w:r>
      <w:r>
        <w:br/>
      </w:r>
      <w:r>
        <w:br/>
      </w:r>
      <w:r>
        <w:br/>
      </w:r>
    </w:p>
    <w:p>
      <w:pPr>
        <w:pStyle w:val="null3"/>
        <w:jc w:val="center"/>
        <w:outlineLvl w:val="2"/>
      </w:pPr>
      <w:r>
        <w:rPr>
          <w:rFonts w:ascii="仿宋_GB2312" w:hAnsi="仿宋_GB2312" w:cs="仿宋_GB2312" w:eastAsia="仿宋_GB2312"/>
          <w:sz w:val="28"/>
          <w:b/>
        </w:rPr>
        <w:t>西安市周至县民政局（本级）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西安市周至县民政局（本级）</w:t>
      </w:r>
      <w:r>
        <w:rPr>
          <w:rFonts w:ascii="仿宋_GB2312" w:hAnsi="仿宋_GB2312" w:cs="仿宋_GB2312" w:eastAsia="仿宋_GB2312"/>
        </w:rPr>
        <w:t>委托，拟对</w:t>
      </w:r>
      <w:r>
        <w:rPr>
          <w:rFonts w:ascii="仿宋_GB2312" w:hAnsi="仿宋_GB2312" w:cs="仿宋_GB2312" w:eastAsia="仿宋_GB2312"/>
        </w:rPr>
        <w:t>2025年为“政府补贴人群“老年人购买意外伤害保险(二次)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SXZCZB2025ZZ-ZCCS-0701.1B1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2025年为“政府补贴人群“老年人购买意外伤害保险(二次)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为“政府补贴人群“老年人购买意外伤害保险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 等查询相关主体信用记录；</w:t>
      </w:r>
    </w:p>
    <w:p>
      <w:pPr>
        <w:pStyle w:val="null3"/>
      </w:pPr>
      <w:r>
        <w:rPr>
          <w:rFonts w:ascii="仿宋_GB2312" w:hAnsi="仿宋_GB2312" w:cs="仿宋_GB2312" w:eastAsia="仿宋_GB2312"/>
        </w:rPr>
        <w:t>7、说明及承诺书：提供具有履行本合同所必需的设备和专业技术能力的说明及承诺书；</w:t>
      </w:r>
    </w:p>
    <w:p>
      <w:pPr>
        <w:pStyle w:val="null3"/>
      </w:pPr>
      <w:r>
        <w:rPr>
          <w:rFonts w:ascii="仿宋_GB2312" w:hAnsi="仿宋_GB2312" w:cs="仿宋_GB2312" w:eastAsia="仿宋_GB2312"/>
        </w:rPr>
        <w:t>8、资质要求：具有中国银行保险监督管理委员会颁发的保险许可证（同一保险机构只允许其本部或一家分支机构参与）</w:t>
      </w:r>
    </w:p>
    <w:p>
      <w:pPr>
        <w:pStyle w:val="null3"/>
      </w:pPr>
      <w:r>
        <w:rPr>
          <w:rFonts w:ascii="仿宋_GB2312" w:hAnsi="仿宋_GB2312" w:cs="仿宋_GB2312" w:eastAsia="仿宋_GB2312"/>
        </w:rPr>
        <w:t>9、书面声明：参加政府采购活动前3年内，在经营活动中没有重大违法记录的书面声明；</w:t>
      </w:r>
    </w:p>
    <w:p>
      <w:pPr>
        <w:pStyle w:val="null3"/>
      </w:pPr>
      <w:r>
        <w:rPr>
          <w:rFonts w:ascii="仿宋_GB2312" w:hAnsi="仿宋_GB2312" w:cs="仿宋_GB2312" w:eastAsia="仿宋_GB2312"/>
        </w:rPr>
        <w:t>10、不接受联合体磋商：本项目不接受联合体磋商。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西安市周至县民政局（本级）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西安市周至县民政局（本级）经办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87120233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15529086965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采购包1：658,840.00元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西安市周至县民政局（本级）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西安市周至县民政局（本级）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西安市周至县民政局（本级）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联系电话：15529086965</w:t>
      </w:r>
    </w:p>
    <w:p>
      <w:pPr>
        <w:pStyle w:val="null3"/>
      </w:pPr>
      <w:r>
        <w:rPr>
          <w:rFonts w:ascii="仿宋_GB2312" w:hAnsi="仿宋_GB2312" w:cs="仿宋_GB2312" w:eastAsia="仿宋_GB2312"/>
        </w:rPr>
        <w:t>地址：陕西省西安市经济技术开发区未央路171-1号银池道拉斯财富中心21楼03号</w:t>
      </w:r>
    </w:p>
    <w:p>
      <w:pPr>
        <w:pStyle w:val="null3"/>
      </w:pPr>
      <w:r>
        <w:rPr>
          <w:rFonts w:ascii="仿宋_GB2312" w:hAnsi="仿宋_GB2312" w:cs="仿宋_GB2312" w:eastAsia="仿宋_GB2312"/>
        </w:rPr>
        <w:t>邮编：710400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2025年为“政府补贴人群“老年人购买意外伤害保险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658,840.00</w:t>
      </w:r>
    </w:p>
    <w:p>
      <w:pPr>
        <w:pStyle w:val="null3"/>
      </w:pPr>
      <w:r>
        <w:rPr>
          <w:rFonts w:ascii="仿宋_GB2312" w:hAnsi="仿宋_GB2312" w:cs="仿宋_GB2312" w:eastAsia="仿宋_GB2312"/>
        </w:rPr>
        <w:t>采购包最高限价（元）: 658,840.00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2025年为“政府补贴人群“老年人购买意外伤害保险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658,840.00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标的名称：2025年为“政府补贴人群“老年人购买意外伤害保险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一、保险费标准、保险期限</w:t>
            </w:r>
          </w:p>
          <w:p>
            <w:pPr>
              <w:pStyle w:val="null3"/>
              <w:ind w:firstLine="420"/>
              <w:jc w:val="left"/>
            </w:pPr>
            <w:r>
              <w:rPr>
                <w:rFonts w:ascii="仿宋_GB2312" w:hAnsi="仿宋_GB2312" w:cs="仿宋_GB2312" w:eastAsia="仿宋_GB2312"/>
                <w:sz w:val="21"/>
                <w:color w:val="000000"/>
              </w:rPr>
              <w:t>1、保险费：20元/年/人，参保人数预估</w:t>
            </w:r>
            <w:r>
              <w:rPr>
                <w:rFonts w:ascii="仿宋_GB2312" w:hAnsi="仿宋_GB2312" w:cs="仿宋_GB2312" w:eastAsia="仿宋_GB2312"/>
                <w:sz w:val="21"/>
                <w:color w:val="000000"/>
              </w:rPr>
              <w:t>32942</w:t>
            </w:r>
            <w:r>
              <w:rPr>
                <w:rFonts w:ascii="仿宋_GB2312" w:hAnsi="仿宋_GB2312" w:cs="仿宋_GB2312" w:eastAsia="仿宋_GB2312"/>
                <w:sz w:val="21"/>
                <w:color w:val="000000"/>
              </w:rPr>
              <w:t>人。该费用为不可竞争费，最终以实际参保人数为准。</w:t>
            </w:r>
          </w:p>
          <w:p>
            <w:pPr>
              <w:pStyle w:val="null3"/>
              <w:ind w:firstLine="420"/>
              <w:jc w:val="left"/>
            </w:pPr>
            <w:r>
              <w:rPr>
                <w:rFonts w:ascii="仿宋_GB2312" w:hAnsi="仿宋_GB2312" w:cs="仿宋_GB2312" w:eastAsia="仿宋_GB2312"/>
                <w:sz w:val="21"/>
                <w:color w:val="000000"/>
              </w:rPr>
              <w:t>2、保险期限：一年，2025年1月1日零时起至2025年12月31日二十四时。</w:t>
            </w:r>
          </w:p>
          <w:p>
            <w:pPr>
              <w:pStyle w:val="null3"/>
            </w:pPr>
            <w:r>
              <w:rPr>
                <w:rFonts w:ascii="仿宋_GB2312" w:hAnsi="仿宋_GB2312" w:cs="仿宋_GB2312" w:eastAsia="仿宋_GB2312"/>
                <w:sz w:val="21"/>
                <w:b/>
                <w:color w:val="000000"/>
              </w:rPr>
              <w:t>二、保险范围、保险责任和保险金额</w:t>
            </w:r>
          </w:p>
          <w:p>
            <w:pPr>
              <w:pStyle w:val="null3"/>
              <w:jc w:val="left"/>
            </w:pPr>
            <w:r>
              <w:rPr>
                <w:rFonts w:ascii="仿宋_GB2312" w:hAnsi="仿宋_GB2312" w:cs="仿宋_GB2312" w:eastAsia="仿宋_GB2312"/>
                <w:sz w:val="21"/>
                <w:color w:val="000000"/>
              </w:rPr>
              <w:t>（一）各类居家养老服务机构内：</w:t>
            </w:r>
          </w:p>
          <w:p>
            <w:pPr>
              <w:pStyle w:val="null3"/>
              <w:jc w:val="left"/>
            </w:pPr>
            <w:r>
              <w:rPr>
                <w:rFonts w:ascii="仿宋_GB2312" w:hAnsi="仿宋_GB2312" w:cs="仿宋_GB2312" w:eastAsia="仿宋_GB2312"/>
                <w:sz w:val="21"/>
                <w:color w:val="000000"/>
              </w:rPr>
              <w:t>1.意外身故最高赔偿限额 60000 元/人。</w:t>
            </w:r>
          </w:p>
          <w:p>
            <w:pPr>
              <w:pStyle w:val="null3"/>
              <w:jc w:val="left"/>
            </w:pPr>
            <w:r>
              <w:rPr>
                <w:rFonts w:ascii="仿宋_GB2312" w:hAnsi="仿宋_GB2312" w:cs="仿宋_GB2312" w:eastAsia="仿宋_GB2312"/>
                <w:sz w:val="21"/>
                <w:color w:val="000000"/>
              </w:rPr>
              <w:t>2.意外残疾最高赔偿限额 60000 元/人。</w:t>
            </w:r>
          </w:p>
          <w:p>
            <w:pPr>
              <w:pStyle w:val="null3"/>
              <w:jc w:val="left"/>
            </w:pPr>
            <w:r>
              <w:rPr>
                <w:rFonts w:ascii="仿宋_GB2312" w:hAnsi="仿宋_GB2312" w:cs="仿宋_GB2312" w:eastAsia="仿宋_GB2312"/>
                <w:sz w:val="21"/>
                <w:color w:val="000000"/>
              </w:rPr>
              <w:t>3.意外伤害医疗费最高赔偿限额 10000 元/人。</w:t>
            </w:r>
          </w:p>
          <w:p>
            <w:pPr>
              <w:pStyle w:val="null3"/>
              <w:jc w:val="left"/>
            </w:pPr>
            <w:r>
              <w:rPr>
                <w:rFonts w:ascii="仿宋_GB2312" w:hAnsi="仿宋_GB2312" w:cs="仿宋_GB2312" w:eastAsia="仿宋_GB2312"/>
                <w:sz w:val="21"/>
                <w:color w:val="000000"/>
              </w:rPr>
              <w:t>（二）居所、庭院、小区周围广场、道路等日常生活空间；</w:t>
            </w:r>
          </w:p>
          <w:p>
            <w:pPr>
              <w:pStyle w:val="null3"/>
              <w:jc w:val="left"/>
            </w:pPr>
            <w:r>
              <w:rPr>
                <w:rFonts w:ascii="仿宋_GB2312" w:hAnsi="仿宋_GB2312" w:cs="仿宋_GB2312" w:eastAsia="仿宋_GB2312"/>
                <w:sz w:val="21"/>
                <w:color w:val="000000"/>
              </w:rPr>
              <w:t>农贸市场、超市、宾馆、饭店等营业性服务场所及上述列明范围</w:t>
            </w:r>
          </w:p>
          <w:p>
            <w:pPr>
              <w:pStyle w:val="null3"/>
              <w:jc w:val="left"/>
            </w:pPr>
            <w:r>
              <w:rPr>
                <w:rFonts w:ascii="仿宋_GB2312" w:hAnsi="仿宋_GB2312" w:cs="仿宋_GB2312" w:eastAsia="仿宋_GB2312"/>
                <w:sz w:val="21"/>
                <w:color w:val="000000"/>
              </w:rPr>
              <w:t>外的其他区域：</w:t>
            </w:r>
          </w:p>
          <w:p>
            <w:pPr>
              <w:pStyle w:val="null3"/>
              <w:jc w:val="left"/>
            </w:pPr>
            <w:r>
              <w:rPr>
                <w:rFonts w:ascii="仿宋_GB2312" w:hAnsi="仿宋_GB2312" w:cs="仿宋_GB2312" w:eastAsia="仿宋_GB2312"/>
                <w:sz w:val="21"/>
                <w:color w:val="000000"/>
              </w:rPr>
              <w:t>1.意外身故最高赔偿限额 20000 元/人。</w:t>
            </w:r>
          </w:p>
          <w:p>
            <w:pPr>
              <w:pStyle w:val="null3"/>
              <w:jc w:val="left"/>
            </w:pPr>
            <w:r>
              <w:rPr>
                <w:rFonts w:ascii="仿宋_GB2312" w:hAnsi="仿宋_GB2312" w:cs="仿宋_GB2312" w:eastAsia="仿宋_GB2312"/>
                <w:sz w:val="21"/>
                <w:color w:val="000000"/>
              </w:rPr>
              <w:t>2.意外残疾最高赔偿限额 20000 元/人。</w:t>
            </w:r>
          </w:p>
          <w:p>
            <w:pPr>
              <w:pStyle w:val="null3"/>
              <w:jc w:val="left"/>
            </w:pPr>
            <w:r>
              <w:rPr>
                <w:rFonts w:ascii="仿宋_GB2312" w:hAnsi="仿宋_GB2312" w:cs="仿宋_GB2312" w:eastAsia="仿宋_GB2312"/>
                <w:sz w:val="21"/>
                <w:color w:val="000000"/>
              </w:rPr>
              <w:t>3.意外伤害医疗费最高赔偿限额 3000 元/人。</w:t>
            </w:r>
          </w:p>
          <w:p>
            <w:pPr>
              <w:pStyle w:val="null3"/>
              <w:jc w:val="left"/>
            </w:pPr>
            <w:r>
              <w:rPr>
                <w:rFonts w:ascii="仿宋_GB2312" w:hAnsi="仿宋_GB2312" w:cs="仿宋_GB2312" w:eastAsia="仿宋_GB2312"/>
                <w:sz w:val="21"/>
                <w:color w:val="000000"/>
              </w:rPr>
              <w:t>（三）其它：</w:t>
            </w:r>
          </w:p>
          <w:p>
            <w:pPr>
              <w:pStyle w:val="null3"/>
              <w:jc w:val="left"/>
            </w:pPr>
            <w:r>
              <w:rPr>
                <w:rFonts w:ascii="仿宋_GB2312" w:hAnsi="仿宋_GB2312" w:cs="仿宋_GB2312" w:eastAsia="仿宋_GB2312"/>
                <w:sz w:val="21"/>
                <w:color w:val="000000"/>
              </w:rPr>
              <w:t>1.意外伤害住院津贴为 30 元/天/人/份；全年住院累计最长赔 偿 180 天。</w:t>
            </w:r>
          </w:p>
          <w:p>
            <w:pPr>
              <w:pStyle w:val="null3"/>
              <w:jc w:val="left"/>
            </w:pPr>
            <w:r>
              <w:rPr>
                <w:rFonts w:ascii="仿宋_GB2312" w:hAnsi="仿宋_GB2312" w:cs="仿宋_GB2312" w:eastAsia="仿宋_GB2312"/>
                <w:sz w:val="21"/>
                <w:color w:val="000000"/>
              </w:rPr>
              <w:t>2.意外医疗费免赔额为 100 元/次。</w:t>
            </w:r>
          </w:p>
          <w:p>
            <w:pPr>
              <w:pStyle w:val="null3"/>
              <w:jc w:val="left"/>
            </w:pPr>
            <w:r>
              <w:rPr>
                <w:rFonts w:ascii="仿宋_GB2312" w:hAnsi="仿宋_GB2312" w:cs="仿宋_GB2312" w:eastAsia="仿宋_GB2312"/>
                <w:sz w:val="21"/>
                <w:color w:val="000000"/>
              </w:rPr>
              <w:t>3.意外医疗费赔付比例：通过医保先行赔付的意外医疗费，剩余部分在医保赔付的范围内保险人同意按照 100%赔付；不通过医保直接向保险人赔付的意外医疗费，在医保赔付的范围内保险人同意按照 70%赔付。</w:t>
            </w:r>
          </w:p>
          <w:p>
            <w:pPr>
              <w:pStyle w:val="null3"/>
              <w:jc w:val="left"/>
            </w:pPr>
            <w:r>
              <w:rPr>
                <w:rFonts w:ascii="仿宋_GB2312" w:hAnsi="仿宋_GB2312" w:cs="仿宋_GB2312" w:eastAsia="仿宋_GB2312"/>
                <w:sz w:val="21"/>
                <w:b/>
                <w:color w:val="000000"/>
              </w:rPr>
              <w:t>三、服务内容：</w:t>
            </w:r>
            <w:r>
              <w:rPr>
                <w:rFonts w:ascii="仿宋_GB2312" w:hAnsi="仿宋_GB2312" w:cs="仿宋_GB2312" w:eastAsia="仿宋_GB2312"/>
                <w:b/>
              </w:rPr>
              <w:t xml:space="preserve"> </w:t>
            </w:r>
          </w:p>
          <w:p>
            <w:pPr>
              <w:pStyle w:val="null3"/>
              <w:jc w:val="left"/>
            </w:pPr>
            <w:r>
              <w:rPr>
                <w:rFonts w:ascii="仿宋_GB2312" w:hAnsi="仿宋_GB2312" w:cs="仿宋_GB2312" w:eastAsia="仿宋_GB2312"/>
                <w:sz w:val="21"/>
                <w:color w:val="000000"/>
              </w:rPr>
              <w:t>1.供应商应设定专门的工作机制，做好保险产品的宣传推广，及时为老年人提供咨询、查询、索赔、投诉等服务，保证老年人投保、理赔的顺畅，及时解决保险服务中的问题。</w:t>
            </w:r>
          </w:p>
          <w:p>
            <w:pPr>
              <w:pStyle w:val="null3"/>
              <w:jc w:val="left"/>
            </w:pPr>
            <w:r>
              <w:rPr>
                <w:rFonts w:ascii="仿宋_GB2312" w:hAnsi="仿宋_GB2312" w:cs="仿宋_GB2312" w:eastAsia="仿宋_GB2312"/>
                <w:sz w:val="21"/>
                <w:color w:val="000000"/>
              </w:rPr>
              <w:t>2.供应商向投保人/投保人家属发送投保通知短信，告知投保人开始享受政府购买的老年人意外伤害险及出险流程。（短信中不可有与老年人意外伤害险无关信息。）</w:t>
            </w:r>
          </w:p>
          <w:p>
            <w:pPr>
              <w:pStyle w:val="null3"/>
              <w:jc w:val="left"/>
            </w:pPr>
            <w:r>
              <w:rPr>
                <w:rFonts w:ascii="仿宋_GB2312" w:hAnsi="仿宋_GB2312" w:cs="仿宋_GB2312" w:eastAsia="仿宋_GB2312"/>
                <w:sz w:val="21"/>
                <w:color w:val="000000"/>
              </w:rPr>
              <w:t>3.供应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jc w:val="left"/>
            </w:pPr>
            <w:r>
              <w:rPr>
                <w:rFonts w:ascii="仿宋_GB2312" w:hAnsi="仿宋_GB2312" w:cs="仿宋_GB2312" w:eastAsia="仿宋_GB2312"/>
                <w:sz w:val="21"/>
                <w:color w:val="000000"/>
              </w:rPr>
              <w:t>4.供应商宣传到位，利用多种方式宣传发动，让全社会充分认识老年人意外伤害保险是经济社会发展和人口老龄化发展的客观要求，重点宣传参保内容和参保程序使老年人意外伤害保险方案家喻户晓。</w:t>
            </w:r>
          </w:p>
          <w:p>
            <w:pPr>
              <w:pStyle w:val="null3"/>
              <w:jc w:val="left"/>
            </w:pPr>
            <w:r>
              <w:rPr>
                <w:rFonts w:ascii="仿宋_GB2312" w:hAnsi="仿宋_GB2312" w:cs="仿宋_GB2312" w:eastAsia="仿宋_GB2312"/>
                <w:sz w:val="21"/>
                <w:color w:val="000000"/>
              </w:rPr>
              <w:t>5.协议签订后在24小时内出据保险单。全天24小时接受被保险人或居民咨询和索赔需求，出险后对有需要的老年人提供上门服务，5个工作日内进行理赔处理结案。</w:t>
            </w:r>
          </w:p>
          <w:p>
            <w:pPr>
              <w:pStyle w:val="null3"/>
              <w:jc w:val="left"/>
            </w:pPr>
            <w:r>
              <w:rPr>
                <w:rFonts w:ascii="仿宋_GB2312" w:hAnsi="仿宋_GB2312" w:cs="仿宋_GB2312" w:eastAsia="仿宋_GB2312"/>
                <w:sz w:val="21"/>
                <w:color w:val="000000"/>
              </w:rPr>
              <w:t>6.加强沟通协调。供应商按照公司职责，加强协作配合，进一步分工合理，职责明确，协商沟通，规范有序的工作机制，确保取得实效，使老年人得到实惠；</w:t>
            </w:r>
          </w:p>
          <w:p>
            <w:pPr>
              <w:pStyle w:val="null3"/>
              <w:jc w:val="left"/>
            </w:pPr>
            <w:r>
              <w:rPr>
                <w:rFonts w:ascii="仿宋_GB2312" w:hAnsi="仿宋_GB2312" w:cs="仿宋_GB2312" w:eastAsia="仿宋_GB2312"/>
                <w:sz w:val="21"/>
                <w:b/>
                <w:color w:val="000000"/>
              </w:rPr>
              <w:t>四、验收</w:t>
            </w:r>
          </w:p>
          <w:p>
            <w:pPr>
              <w:pStyle w:val="null3"/>
              <w:jc w:val="left"/>
            </w:pPr>
            <w:r>
              <w:rPr>
                <w:rFonts w:ascii="仿宋_GB2312" w:hAnsi="仿宋_GB2312" w:cs="仿宋_GB2312" w:eastAsia="仿宋_GB2312"/>
                <w:sz w:val="21"/>
                <w:color w:val="000000"/>
              </w:rPr>
              <w:t>1、服务商提供的服务最终验收达不到磋商文件要求和磋商响应文件承诺及国家或行业标准，或在使用中发现采购人不能容忍的缺陷等，将视为验收不合格，服务商应在采购人要求的时间内无条件完善或要求赔付采购人损失。</w:t>
            </w:r>
          </w:p>
          <w:p>
            <w:pPr>
              <w:pStyle w:val="null3"/>
              <w:jc w:val="left"/>
            </w:pPr>
            <w:r>
              <w:rPr>
                <w:rFonts w:ascii="仿宋_GB2312" w:hAnsi="仿宋_GB2312" w:cs="仿宋_GB2312" w:eastAsia="仿宋_GB2312"/>
                <w:sz w:val="21"/>
                <w:color w:val="000000"/>
              </w:rPr>
              <w:t>2、若发现服务商有弄虚作假的，及在项目实施阶段故意或随意夸大服务，本项目合同解除，服务商赔偿采购人相应的损失。</w:t>
            </w:r>
          </w:p>
          <w:p>
            <w:pPr>
              <w:pStyle w:val="null3"/>
              <w:jc w:val="left"/>
            </w:pPr>
            <w:r>
              <w:rPr>
                <w:rFonts w:ascii="仿宋_GB2312" w:hAnsi="仿宋_GB2312" w:cs="仿宋_GB2312" w:eastAsia="仿宋_GB2312"/>
                <w:sz w:val="21"/>
                <w:color w:val="000000"/>
              </w:rPr>
              <w:t>3、验收标准：按磋商文件、磋商响应文件等服务指标进行逐项验收，各项指标均应符合验收标准及要求。</w:t>
            </w:r>
          </w:p>
          <w:p>
            <w:pPr>
              <w:pStyle w:val="null3"/>
              <w:jc w:val="left"/>
            </w:pPr>
            <w:r>
              <w:rPr>
                <w:rFonts w:ascii="仿宋_GB2312" w:hAnsi="仿宋_GB2312" w:cs="仿宋_GB2312" w:eastAsia="仿宋_GB2312"/>
                <w:sz w:val="21"/>
                <w:color w:val="000000"/>
              </w:rPr>
              <w:t>4、验收合格后，填写验收单，双方盖章、签字生效。</w:t>
            </w:r>
          </w:p>
          <w:p>
            <w:pPr>
              <w:pStyle w:val="null3"/>
              <w:jc w:val="left"/>
            </w:pPr>
            <w:r>
              <w:rPr>
                <w:rFonts w:ascii="仿宋_GB2312" w:hAnsi="仿宋_GB2312" w:cs="仿宋_GB2312" w:eastAsia="仿宋_GB2312"/>
                <w:sz w:val="21"/>
                <w:color w:val="000000"/>
              </w:rPr>
              <w:t>5、验收依据：</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1）合同文本、合同附件、竞争性磋商文件、竞争性磋商响应文件。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2）国家和行业制定的相应的标准和规范。</w:t>
            </w:r>
          </w:p>
          <w:p>
            <w:pPr>
              <w:pStyle w:val="null3"/>
            </w:pPr>
            <w:r>
              <w:rPr>
                <w:rFonts w:ascii="仿宋_GB2312" w:hAnsi="仿宋_GB2312" w:cs="仿宋_GB2312" w:eastAsia="仿宋_GB2312"/>
                <w:sz w:val="21"/>
                <w:b/>
                <w:color w:val="000000"/>
              </w:rPr>
              <w:t>五、所属行业：</w:t>
            </w:r>
            <w:r>
              <w:rPr>
                <w:rFonts w:ascii="仿宋_GB2312" w:hAnsi="仿宋_GB2312" w:cs="仿宋_GB2312" w:eastAsia="仿宋_GB2312"/>
                <w:sz w:val="21"/>
                <w:color w:val="000000"/>
              </w:rPr>
              <w:t>其他未列明行业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能够满足项目需求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能够满足项目需求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一年，2025年1月1日零时起至2025年12月31日二十四时。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投保完成后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具有中国银行保险监督管理委员会颁发的保险许可证（同一保险机构只允许其本部或一家分支机构参与）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签字及盖章均符合招标文件要求，且无遗漏。</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是否响应招标文件报价要求（保险费：20元/年/人，总价：658840.00元，该费用为不可竞争费，报价未响应按无效处理）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承保服务、理赔服务手续</w:t>
            </w:r>
          </w:p>
        </w:tc>
        <w:tc>
          <w:tcPr>
            <w:tcW w:type="dxa" w:w="2492"/>
          </w:tcPr>
          <w:p>
            <w:pPr>
              <w:pStyle w:val="null3"/>
            </w:pPr>
            <w:r>
              <w:rPr>
                <w:rFonts w:ascii="仿宋_GB2312" w:hAnsi="仿宋_GB2312" w:cs="仿宋_GB2312" w:eastAsia="仿宋_GB2312"/>
              </w:rPr>
              <w:t>投标人承诺的承保服务、理赔服务手续繁简程度、快速理赔通道； 内容科学、合理、有效，可行性强的计10分； 内容基本合理、完善的计6分； 内容不合理、完善的计3分；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理赔措施</w:t>
            </w:r>
          </w:p>
        </w:tc>
        <w:tc>
          <w:tcPr>
            <w:tcW w:type="dxa" w:w="2492"/>
          </w:tcPr>
          <w:p>
            <w:pPr>
              <w:pStyle w:val="null3"/>
            </w:pPr>
            <w:r>
              <w:rPr>
                <w:rFonts w:ascii="仿宋_GB2312" w:hAnsi="仿宋_GB2312" w:cs="仿宋_GB2312" w:eastAsia="仿宋_GB2312"/>
              </w:rPr>
              <w:t>具有完整成套的理赔措施，理赔流程详尽合理，并具有方便、快捷的特点; 内容科学、合理、有效，可行性强的计10分； 内容基本合理、完善的计6分； 内容不合理、完善的计3分；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理赔时效</w:t>
            </w:r>
          </w:p>
        </w:tc>
        <w:tc>
          <w:tcPr>
            <w:tcW w:type="dxa" w:w="2492"/>
          </w:tcPr>
          <w:p>
            <w:pPr>
              <w:pStyle w:val="null3"/>
            </w:pPr>
            <w:r>
              <w:rPr>
                <w:rFonts w:ascii="仿宋_GB2312" w:hAnsi="仿宋_GB2312" w:cs="仿宋_GB2312" w:eastAsia="仿宋_GB2312"/>
              </w:rPr>
              <w:t>对责任事故处理有明确的理赔时效; 内容丰富全面、科学合理、规范计10分； 内容基本全面、科学、规范计6分； 内容不全面、科学、规范计3分；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对甲方可认定责任的事故不设报案时限</w:t>
            </w:r>
          </w:p>
        </w:tc>
        <w:tc>
          <w:tcPr>
            <w:tcW w:type="dxa" w:w="2492"/>
          </w:tcPr>
          <w:p>
            <w:pPr>
              <w:pStyle w:val="null3"/>
            </w:pPr>
            <w:r>
              <w:rPr>
                <w:rFonts w:ascii="仿宋_GB2312" w:hAnsi="仿宋_GB2312" w:cs="仿宋_GB2312" w:eastAsia="仿宋_GB2312"/>
              </w:rPr>
              <w:t>对甲方可认定责任的事故不设报案时限; 内容详尽，细节考虑全面计10分； 内容基本详尽，细节考虑基本全面计6分； 内容不全面计3分；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理赔材料</w:t>
            </w:r>
          </w:p>
        </w:tc>
        <w:tc>
          <w:tcPr>
            <w:tcW w:type="dxa" w:w="2492"/>
          </w:tcPr>
          <w:p>
            <w:pPr>
              <w:pStyle w:val="null3"/>
            </w:pPr>
            <w:r>
              <w:rPr>
                <w:rFonts w:ascii="仿宋_GB2312" w:hAnsi="仿宋_GB2312" w:cs="仿宋_GB2312" w:eastAsia="仿宋_GB2312"/>
              </w:rPr>
              <w:t>对被保险人提供理赔材料有欠缺的协助处理方案; 内容详尽，细节考虑全面计15分； 内容基本详尽，细节考虑基本全面计10分； 内容不全面计5分； 未提供的不得分；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服务流程</w:t>
            </w:r>
          </w:p>
        </w:tc>
        <w:tc>
          <w:tcPr>
            <w:tcW w:type="dxa" w:w="2492"/>
          </w:tcPr>
          <w:p>
            <w:pPr>
              <w:pStyle w:val="null3"/>
            </w:pPr>
            <w:r>
              <w:rPr>
                <w:rFonts w:ascii="仿宋_GB2312" w:hAnsi="仿宋_GB2312" w:cs="仿宋_GB2312" w:eastAsia="仿宋_GB2312"/>
              </w:rPr>
              <w:t>有上门收取甲方理赔资料的服务流程; 服务流程科学，详细，操作性强计10分； 服务流程内容基本合理计6分； 服务流程内容不合理计3分；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针对采购人实际需求提供有针对性的服务措施承诺。 服务措施针对性强、合理有效计10分； 服务措施针对性不强、基本合理有效计6分； 服务措施针对性弱、不合理有效计3分；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为满足本项目的工作需要，配备相应人员，提出配备方案。 方案合理、突出、详细计10分； 方案基本合理、突出、详细计6分； 方案不合理、突出、详细计3分；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投标人需提供近三年来（2022年1月1日起至今的）类似业绩证明材料。业绩证明材料以合同为准，每提供一项有效合同的得3分，最高得15分。备注：响应文件中提供合同复印件加盖公章。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