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版本号：PZZX-25-ZZB00320250815001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尚村镇街区基础设施建设项目人行道提升改造工程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PZZX-25-ZZB003</w:t>
      </w:r>
      <w:r>
        <w:br/>
      </w:r>
      <w:r>
        <w:br/>
      </w:r>
      <w:r>
        <w:br/>
      </w:r>
    </w:p>
    <w:p>
      <w:pPr>
        <w:pStyle w:val="null3"/>
        <w:jc w:val="center"/>
        <w:outlineLvl w:val="2"/>
      </w:pPr>
      <w:r>
        <w:rPr>
          <w:rFonts w:ascii="仿宋_GB2312" w:hAnsi="仿宋_GB2312" w:cs="仿宋_GB2312" w:eastAsia="仿宋_GB2312"/>
          <w:sz w:val="28"/>
          <w:b/>
        </w:rPr>
        <w:t>周至县尚村镇人民政府（本级）</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周至县尚村镇人民政府（本级）</w:t>
      </w:r>
      <w:r>
        <w:rPr>
          <w:rFonts w:ascii="仿宋_GB2312" w:hAnsi="仿宋_GB2312" w:cs="仿宋_GB2312" w:eastAsia="仿宋_GB2312"/>
        </w:rPr>
        <w:t>委托，拟对</w:t>
      </w:r>
      <w:r>
        <w:rPr>
          <w:rFonts w:ascii="仿宋_GB2312" w:hAnsi="仿宋_GB2312" w:cs="仿宋_GB2312" w:eastAsia="仿宋_GB2312"/>
        </w:rPr>
        <w:t>尚村镇街区基础设施建设项目人行道提升改造工程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PZZX-25-ZZB003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尚村镇街区基础设施建设项目人行道提升改造工程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尚村镇街区基础设施建设项目人行道提升改造工程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采购包1（尚村镇街区基础设施建设项目人行道提升改造工程）：属于专门面向中小企业采购。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9、履行合同能力说明：提供具有履行本合同所必需的设备和专业技术能力的说明及承诺书；</w:t>
      </w:r>
    </w:p>
    <w:p>
      <w:pPr>
        <w:pStyle w:val="null3"/>
      </w:pPr>
      <w:r>
        <w:rPr>
          <w:rFonts w:ascii="仿宋_GB2312" w:hAnsi="仿宋_GB2312" w:cs="仿宋_GB2312" w:eastAsia="仿宋_GB2312"/>
        </w:rPr>
        <w:t>10、无重大违法记录的书面声明：参加政府采购活动前3年内，在经营活动中没有重大违法记录的书面声明；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周至县尚村镇人民政府（本级）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西安市周至县尚村镇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周至县尚村镇人民政府经办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029-85163326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刘会敏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17792465249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采购包1：955,591.94元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代理服务费收费标准：依据国家计委颁布《招标代理服务收费管理暂行办法》（计价格[2002]1980号）文件的有关规定下浮10%执行。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周至县尚村镇人民政府（本级）</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周至县尚村镇人民政府（本级）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周至县尚村镇人民政府（本级）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联系人：刘会敏</w:t>
      </w:r>
    </w:p>
    <w:p>
      <w:pPr>
        <w:pStyle w:val="null3"/>
      </w:pPr>
      <w:r>
        <w:rPr>
          <w:rFonts w:ascii="仿宋_GB2312" w:hAnsi="仿宋_GB2312" w:cs="仿宋_GB2312" w:eastAsia="仿宋_GB2312"/>
        </w:rPr>
        <w:t>联系电话：17792465249</w:t>
      </w:r>
    </w:p>
    <w:p>
      <w:pPr>
        <w:pStyle w:val="null3"/>
      </w:pPr>
      <w:r>
        <w:rPr>
          <w:rFonts w:ascii="仿宋_GB2312" w:hAnsi="仿宋_GB2312" w:cs="仿宋_GB2312" w:eastAsia="仿宋_GB2312"/>
        </w:rPr>
        <w:t>地址：陕西省西安市经济技术开发区凤城七路长和国际A座1502室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955,591.94</w:t>
      </w:r>
    </w:p>
    <w:p>
      <w:pPr>
        <w:pStyle w:val="null3"/>
      </w:pPr>
      <w:r>
        <w:rPr>
          <w:rFonts w:ascii="仿宋_GB2312" w:hAnsi="仿宋_GB2312" w:cs="仿宋_GB2312" w:eastAsia="仿宋_GB2312"/>
        </w:rPr>
        <w:t>采购包最高限价（元）: 955,591.94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尚村镇街区基础设施建设项目人行道提升改造工程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955,591.94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标的名称：尚村镇街区基础设施建设项目人行道提升改造工程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1）施工范围：工程量清单内所含的全部内容</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2）工期：自合同签订之日起90日历天</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3）质量标准：符合国家现行有关施工质量验收规范“合格”要求标准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4）其他需说明的事项；本工程采用招标控制价电子版本：广联达版本号：6.4100.23.122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 晰、合理的方案； 3、针对性：方案能够紧扣项目实际情况，内容科学合理。 三、赋分标 准（15分） ①工程重难点及解决措施：每完全满足一个评审标准得2分，满分6分； ②工 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 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