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版本号：SCIT-ZC-SX202508000320250818001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周至县教育局2025-2026学年度公办学校（园）方责任保险承保采购项目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SCIT-ZC-SX2025080003</w:t>
      </w:r>
      <w:r>
        <w:br/>
      </w:r>
      <w:r>
        <w:br/>
      </w:r>
      <w:r>
        <w:br/>
      </w:r>
    </w:p>
    <w:p>
      <w:pPr>
        <w:pStyle w:val="null3"/>
        <w:jc w:val="center"/>
        <w:outlineLvl w:val="2"/>
      </w:pPr>
      <w:r>
        <w:rPr>
          <w:rFonts w:ascii="仿宋_GB2312" w:hAnsi="仿宋_GB2312" w:cs="仿宋_GB2312" w:eastAsia="仿宋_GB2312"/>
          <w:sz w:val="28"/>
          <w:b/>
        </w:rPr>
        <w:t>周至县教育和科学技术局</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周至县教育和科学技术局</w:t>
      </w:r>
      <w:r>
        <w:rPr>
          <w:rFonts w:ascii="仿宋_GB2312" w:hAnsi="仿宋_GB2312" w:cs="仿宋_GB2312" w:eastAsia="仿宋_GB2312"/>
        </w:rPr>
        <w:t>委托，拟对</w:t>
      </w:r>
      <w:r>
        <w:rPr>
          <w:rFonts w:ascii="仿宋_GB2312" w:hAnsi="仿宋_GB2312" w:cs="仿宋_GB2312" w:eastAsia="仿宋_GB2312"/>
        </w:rPr>
        <w:t>周至县教育局2025-2026学年度公办学校（园）方责任保险承保采购项目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SCIT-ZC-SX2025080003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周至县教育局2025-2026学年度公办学校（园）方责任保险承保采购项目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本项目共1个包，拟选择学生校（园）方责任险承保单位一名；（具体详见磋商文件）； 标的名称：学生校（园）方责任险承保； 在校(园)的学生人数约73000人，每人每年保费10元，本次保险内容为：学生校(园)方责任险。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1、法定代表人授权书及被授权人身份证明：法定代表人授权书及被授权人身份证明（法定代表人直接参与磋商只须提交其身份证明）； 按采购文件规定格式提供授权书及法定代表人、被授权人身份证明；</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3、供应商具有有效的《保险许可证》：供应商具有有效的《保险许可证》；提供证书复印件</w:t>
      </w:r>
    </w:p>
    <w:p>
      <w:pPr>
        <w:pStyle w:val="null3"/>
      </w:pPr>
      <w:r>
        <w:rPr>
          <w:rFonts w:ascii="仿宋_GB2312" w:hAnsi="仿宋_GB2312" w:cs="仿宋_GB2312" w:eastAsia="仿宋_GB2312"/>
        </w:rPr>
        <w:t>4、承诺：单位负责人为同一人或者存在直接控股、管理关系的不同投标人，不得同时参加本次采购活；提供承诺函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周至县教育和科学技术局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周至县工业路西段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029-87151801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连娟、徐歆沂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代理服务费收费标准：以预算金额计算，按国家标准（国家计委计价格[2002]1980号）下浮30%收取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周至县教育和科学技术局</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周至县教育和科学技术局</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周至县教育和科学技术局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联系人：马旭</w:t>
      </w:r>
    </w:p>
    <w:p>
      <w:pPr>
        <w:pStyle w:val="null3"/>
      </w:pPr>
      <w:r>
        <w:rPr>
          <w:rFonts w:ascii="仿宋_GB2312" w:hAnsi="仿宋_GB2312" w:cs="仿宋_GB2312" w:eastAsia="仿宋_GB2312"/>
        </w:rPr>
        <w:t>联系电话：029-88854271-8008</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本项目共1个包，拟选择学生校（园）方责任险承保单位一名；（具体详见磋商文件）； 项目用途：学生校（园）方责任险承保； 采购预算：730000元；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详见招投标文件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标的名称：详见招投标文件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标的名称：</w:t>
            </w:r>
            <w:r>
              <w:rPr>
                <w:rFonts w:ascii="仿宋_GB2312" w:hAnsi="仿宋_GB2312" w:cs="仿宋_GB2312" w:eastAsia="仿宋_GB2312"/>
              </w:rPr>
              <w:t>学生校（园）方责任险承保</w:t>
            </w:r>
            <w:r>
              <w:rPr>
                <w:rFonts w:ascii="仿宋_GB2312" w:hAnsi="仿宋_GB2312" w:cs="仿宋_GB2312" w:eastAsia="仿宋_GB2312"/>
              </w:rPr>
              <w:t>服务</w:t>
            </w:r>
          </w:p>
          <w:tbl>
            <w:tblPr>
              <w:tblInd w:type="dxa" w:w="135"/>
              <w:tblBorders>
                <w:top w:val="none" w:color="000000" w:sz="4"/>
                <w:left w:val="none" w:color="000000" w:sz="4"/>
                <w:bottom w:val="none" w:color="000000" w:sz="4"/>
                <w:right w:val="none" w:color="000000" w:sz="4"/>
                <w:insideH w:val="none"/>
                <w:insideV w:val="none"/>
              </w:tblBorders>
            </w:tblPr>
            <w:tblGrid>
              <w:gridCol w:w="844"/>
              <w:gridCol w:w="890"/>
              <w:gridCol w:w="401"/>
              <w:gridCol w:w="411"/>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保险项目</w:t>
                  </w:r>
                </w:p>
              </w:tc>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0"/>
                    </w:rPr>
                    <w:t>保险金额</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保险服务</w:t>
                  </w:r>
                  <w:r>
                    <w:rPr>
                      <w:rFonts w:ascii="仿宋_GB2312" w:hAnsi="仿宋_GB2312" w:cs="仿宋_GB2312" w:eastAsia="仿宋_GB2312"/>
                      <w:sz w:val="20"/>
                    </w:rPr>
                    <w:t>预估</w:t>
                  </w:r>
                  <w:r>
                    <w:rPr>
                      <w:rFonts w:ascii="仿宋_GB2312" w:hAnsi="仿宋_GB2312" w:cs="仿宋_GB2312" w:eastAsia="仿宋_GB2312"/>
                      <w:sz w:val="20"/>
                    </w:rPr>
                    <w:t>人数</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w:t>
                  </w:r>
                  <w:r>
                    <w:rPr>
                      <w:rFonts w:ascii="仿宋_GB2312" w:hAnsi="仿宋_GB2312" w:cs="仿宋_GB2312" w:eastAsia="仿宋_GB2312"/>
                      <w:sz w:val="20"/>
                    </w:rPr>
                    <w:t>单人保费</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每生每年累计伤害赔偿限额（含死亡、伤残）</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 xml:space="preserve">  </w:t>
                  </w:r>
                  <w:r>
                    <w:rPr>
                      <w:rFonts w:ascii="仿宋_GB2312" w:hAnsi="仿宋_GB2312" w:cs="仿宋_GB2312" w:eastAsia="仿宋_GB2312"/>
                      <w:sz w:val="20"/>
                      <w:u w:val="single"/>
                    </w:rPr>
                    <w:t>45</w:t>
                  </w:r>
                  <w:r>
                    <w:rPr>
                      <w:rFonts w:ascii="仿宋_GB2312" w:hAnsi="仿宋_GB2312" w:cs="仿宋_GB2312" w:eastAsia="仿宋_GB2312"/>
                      <w:sz w:val="21"/>
                      <w:u w:val="single"/>
                    </w:rPr>
                    <w:t xml:space="preserve">  </w:t>
                  </w:r>
                  <w:r>
                    <w:rPr>
                      <w:rFonts w:ascii="仿宋_GB2312" w:hAnsi="仿宋_GB2312" w:cs="仿宋_GB2312" w:eastAsia="仿宋_GB2312"/>
                      <w:sz w:val="20"/>
                    </w:rPr>
                    <w:t>万元（校园方责任险）</w:t>
                  </w:r>
                </w:p>
              </w:tc>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7.3万</w:t>
                  </w:r>
                </w:p>
                <w:p>
                  <w:pPr>
                    <w:pStyle w:val="null3"/>
                    <w:jc w:val="both"/>
                  </w:pPr>
                </w:p>
              </w:tc>
              <w:tc>
                <w:tcPr>
                  <w:tcW w:type="dxa" w:w="4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10元</w:t>
                  </w:r>
                  <w:r>
                    <w:rPr>
                      <w:rFonts w:ascii="仿宋_GB2312" w:hAnsi="仿宋_GB2312" w:cs="仿宋_GB2312" w:eastAsia="仿宋_GB2312"/>
                      <w:sz w:val="20"/>
                    </w:rPr>
                    <w:t>/人</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每生每年累计伤害赔偿限额（无过失责任）</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 xml:space="preserve">   </w:t>
                  </w:r>
                  <w:r>
                    <w:rPr>
                      <w:rFonts w:ascii="仿宋_GB2312" w:hAnsi="仿宋_GB2312" w:cs="仿宋_GB2312" w:eastAsia="仿宋_GB2312"/>
                      <w:sz w:val="20"/>
                      <w:u w:val="single"/>
                    </w:rPr>
                    <w:t>15</w:t>
                  </w:r>
                  <w:r>
                    <w:rPr>
                      <w:rFonts w:ascii="仿宋_GB2312" w:hAnsi="仿宋_GB2312" w:cs="仿宋_GB2312" w:eastAsia="仿宋_GB2312"/>
                      <w:sz w:val="21"/>
                      <w:u w:val="single"/>
                    </w:rPr>
                    <w:t xml:space="preserve">  </w:t>
                  </w:r>
                  <w:r>
                    <w:rPr>
                      <w:rFonts w:ascii="仿宋_GB2312" w:hAnsi="仿宋_GB2312" w:cs="仿宋_GB2312" w:eastAsia="仿宋_GB2312"/>
                      <w:sz w:val="20"/>
                    </w:rPr>
                    <w:t>万元（校园方无过失责任险）</w:t>
                  </w:r>
                </w:p>
              </w:tc>
              <w:tc>
                <w:tcPr>
                  <w:tcW w:type="dxa" w:w="401"/>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每所学校每年累计事故赔偿限额</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 xml:space="preserve">    </w:t>
                  </w:r>
                  <w:r>
                    <w:rPr>
                      <w:rFonts w:ascii="仿宋_GB2312" w:hAnsi="仿宋_GB2312" w:cs="仿宋_GB2312" w:eastAsia="仿宋_GB2312"/>
                      <w:sz w:val="20"/>
                      <w:u w:val="single"/>
                    </w:rPr>
                    <w:t>500</w:t>
                  </w:r>
                  <w:r>
                    <w:rPr>
                      <w:rFonts w:ascii="仿宋_GB2312" w:hAnsi="仿宋_GB2312" w:cs="仿宋_GB2312" w:eastAsia="仿宋_GB2312"/>
                      <w:sz w:val="21"/>
                      <w:u w:val="single"/>
                    </w:rPr>
                    <w:t xml:space="preserve">  </w:t>
                  </w:r>
                  <w:r>
                    <w:rPr>
                      <w:rFonts w:ascii="仿宋_GB2312" w:hAnsi="仿宋_GB2312" w:cs="仿宋_GB2312" w:eastAsia="仿宋_GB2312"/>
                      <w:sz w:val="20"/>
                    </w:rPr>
                    <w:t>万元（校园方责任险）</w:t>
                  </w:r>
                </w:p>
              </w:tc>
              <w:tc>
                <w:tcPr>
                  <w:tcW w:type="dxa" w:w="401"/>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每所学校每年累计事故赔偿限额（无过失责任）</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u w:val="single"/>
                    </w:rPr>
                    <w:t xml:space="preserve">    </w:t>
                  </w:r>
                  <w:r>
                    <w:rPr>
                      <w:rFonts w:ascii="仿宋_GB2312" w:hAnsi="仿宋_GB2312" w:cs="仿宋_GB2312" w:eastAsia="仿宋_GB2312"/>
                      <w:sz w:val="20"/>
                      <w:u w:val="single"/>
                    </w:rPr>
                    <w:t>100</w:t>
                  </w:r>
                  <w:r>
                    <w:rPr>
                      <w:rFonts w:ascii="仿宋_GB2312" w:hAnsi="仿宋_GB2312" w:cs="仿宋_GB2312" w:eastAsia="仿宋_GB2312"/>
                      <w:sz w:val="21"/>
                      <w:u w:val="single"/>
                    </w:rPr>
                    <w:t xml:space="preserve">   </w:t>
                  </w:r>
                  <w:r>
                    <w:rPr>
                      <w:rFonts w:ascii="仿宋_GB2312" w:hAnsi="仿宋_GB2312" w:cs="仿宋_GB2312" w:eastAsia="仿宋_GB2312"/>
                      <w:sz w:val="20"/>
                    </w:rPr>
                    <w:t>万元（校园方无过失责任险）</w:t>
                  </w:r>
                </w:p>
              </w:tc>
              <w:tc>
                <w:tcPr>
                  <w:tcW w:type="dxa" w:w="401"/>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免赔额</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u w:val="single"/>
                    </w:rPr>
                    <w:t>无</w:t>
                  </w:r>
                </w:p>
              </w:tc>
              <w:tc>
                <w:tcPr>
                  <w:tcW w:type="dxa" w:w="401"/>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r>
              <w:rPr>
                <w:rFonts w:ascii="仿宋_GB2312" w:hAnsi="仿宋_GB2312" w:cs="仿宋_GB2312" w:eastAsia="仿宋_GB2312"/>
                <w:b/>
              </w:rPr>
              <w:t>（一）保障范围要求</w:t>
            </w:r>
          </w:p>
          <w:p>
            <w:pPr>
              <w:pStyle w:val="null3"/>
            </w:pPr>
            <w:r>
              <w:rPr>
                <w:rFonts w:ascii="仿宋_GB2312" w:hAnsi="仿宋_GB2312" w:cs="仿宋_GB2312" w:eastAsia="仿宋_GB2312"/>
              </w:rPr>
              <w:t>在被保险人的在校活动中或由被保险人统一组织或安排的活动过程中，因校方疏忽或过失引发的包括教职员工擅离工作岗位、不履行职责的，或者虽在工作岗位但未履行职责，或者违反工作要求、操作规程等原因导致注册学生的人身伤亡，依法应由被保险人承担的全部或者部分直接经济损失赔偿责任，以及事先经保险公司书面同意支付的诉讼费用及其他必要合理的费用，由保险公司赔偿。</w:t>
            </w:r>
          </w:p>
          <w:p>
            <w:pPr>
              <w:pStyle w:val="null3"/>
            </w:pPr>
            <w:r>
              <w:rPr>
                <w:rFonts w:ascii="仿宋_GB2312" w:hAnsi="仿宋_GB2312" w:cs="仿宋_GB2312" w:eastAsia="仿宋_GB2312"/>
                <w:b/>
              </w:rPr>
              <w:t>（二）保险责任</w:t>
            </w:r>
          </w:p>
          <w:p>
            <w:pPr>
              <w:pStyle w:val="null3"/>
            </w:pPr>
            <w:r>
              <w:rPr>
                <w:rFonts w:ascii="仿宋_GB2312" w:hAnsi="仿宋_GB2312" w:cs="仿宋_GB2312" w:eastAsia="仿宋_GB2312"/>
              </w:rPr>
              <w:t>学生在校活动中或由学校统一组织安排的活动（学校活动包括体育课、实验课、课间操、课外活动、春游等）过程中，因学校非主观过失导致注册学生的人身伤害和财产损失，依法应由学校承担的直接经济赔偿责任。保险公司负责赔偿：</w:t>
            </w:r>
          </w:p>
          <w:p>
            <w:pPr>
              <w:pStyle w:val="null3"/>
            </w:pPr>
            <w:r>
              <w:rPr>
                <w:rFonts w:ascii="仿宋_GB2312" w:hAnsi="仿宋_GB2312" w:cs="仿宋_GB2312" w:eastAsia="仿宋_GB2312"/>
              </w:rPr>
              <w:t>(1）学校的校舍、场地、其他公共设施，以及提供给学生使用的学具、教育教学和生活设施、设备不符合国家规定的标准；</w:t>
            </w:r>
          </w:p>
          <w:p>
            <w:pPr>
              <w:pStyle w:val="null3"/>
            </w:pPr>
            <w:r>
              <w:rPr>
                <w:rFonts w:ascii="仿宋_GB2312" w:hAnsi="仿宋_GB2312" w:cs="仿宋_GB2312" w:eastAsia="仿宋_GB2312"/>
              </w:rPr>
              <w:t>(2）学校的安全保卫、消防、设施设备管理等安全管理制度有疏漏，或者管理混乱，存在安全隐患，而未及时采取措施；</w:t>
            </w:r>
          </w:p>
          <w:p>
            <w:pPr>
              <w:pStyle w:val="null3"/>
            </w:pPr>
            <w:r>
              <w:rPr>
                <w:rFonts w:ascii="仿宋_GB2312" w:hAnsi="仿宋_GB2312" w:cs="仿宋_GB2312" w:eastAsia="仿宋_GB2312"/>
              </w:rPr>
              <w:t>(3）学校向学生提供的药品、食品、饮用水以及玩具、文具或者其他物品不符合国家、行业和学校所在地市的卫生、安全标准；</w:t>
            </w:r>
          </w:p>
          <w:p>
            <w:pPr>
              <w:pStyle w:val="null3"/>
            </w:pPr>
            <w:r>
              <w:rPr>
                <w:rFonts w:ascii="仿宋_GB2312" w:hAnsi="仿宋_GB2312" w:cs="仿宋_GB2312" w:eastAsia="仿宋_GB2312"/>
              </w:rPr>
              <w:t>(4）学校组织学生参加教育教学活动或者校外活动，未按规定对学生进行必要的安全教育，并未在可遇见的范围内采取必要的安全措施；</w:t>
            </w:r>
          </w:p>
          <w:p>
            <w:pPr>
              <w:pStyle w:val="null3"/>
            </w:pPr>
            <w:r>
              <w:rPr>
                <w:rFonts w:ascii="仿宋_GB2312" w:hAnsi="仿宋_GB2312" w:cs="仿宋_GB2312" w:eastAsia="仿宋_GB2312"/>
              </w:rPr>
              <w:t>(5）学校的教师或者其他工作人员患有不适宜担任教学工作的疾病，但学校未采取必要措施；</w:t>
            </w:r>
          </w:p>
          <w:p>
            <w:pPr>
              <w:pStyle w:val="null3"/>
            </w:pPr>
            <w:r>
              <w:rPr>
                <w:rFonts w:ascii="仿宋_GB2312" w:hAnsi="仿宋_GB2312" w:cs="仿宋_GB2312" w:eastAsia="仿宋_GB2312"/>
              </w:rPr>
              <w:t>(6）学校违反有关规定，组织或者安排未成年学生从事不宜未成年人参加的劳动、体育运动或者其他活动；</w:t>
            </w:r>
          </w:p>
          <w:p>
            <w:pPr>
              <w:pStyle w:val="null3"/>
            </w:pPr>
            <w:r>
              <w:rPr>
                <w:rFonts w:ascii="仿宋_GB2312" w:hAnsi="仿宋_GB2312" w:cs="仿宋_GB2312" w:eastAsia="仿宋_GB2312"/>
              </w:rPr>
              <w:t>(7)学生有特异体质或特定疾病，不宜参加某种教学活动，学校知道或者应当知道，但未予以必要注意；</w:t>
            </w:r>
          </w:p>
          <w:p>
            <w:pPr>
              <w:pStyle w:val="null3"/>
            </w:pPr>
            <w:r>
              <w:rPr>
                <w:rFonts w:ascii="仿宋_GB2312" w:hAnsi="仿宋_GB2312" w:cs="仿宋_GB2312" w:eastAsia="仿宋_GB2312"/>
              </w:rPr>
              <w:t>(8）学生在校期间突发疾病或者受到伤害，学校发现，但未根据实际情况及时采取相应措施，导致不良后果加重；</w:t>
            </w:r>
          </w:p>
          <w:p>
            <w:pPr>
              <w:pStyle w:val="null3"/>
            </w:pPr>
            <w:r>
              <w:rPr>
                <w:rFonts w:ascii="仿宋_GB2312" w:hAnsi="仿宋_GB2312" w:cs="仿宋_GB2312" w:eastAsia="仿宋_GB2312"/>
              </w:rPr>
              <w:t>(9）教师或者其他工作人员在负有组织、管理未成年学生的职责期间，发现学生行为具有危险性，但未进行必要的管理、告诚或者阻止；</w:t>
            </w:r>
          </w:p>
          <w:p>
            <w:pPr>
              <w:pStyle w:val="null3"/>
            </w:pPr>
            <w:r>
              <w:rPr>
                <w:rFonts w:ascii="仿宋_GB2312" w:hAnsi="仿宋_GB2312" w:cs="仿宋_GB2312" w:eastAsia="仿宋_GB2312"/>
              </w:rPr>
              <w:t>(10）教师或者其他工作人员侮辱、殴打体罚或者变相体罚学生；</w:t>
            </w:r>
          </w:p>
          <w:p>
            <w:pPr>
              <w:pStyle w:val="null3"/>
            </w:pPr>
            <w:r>
              <w:rPr>
                <w:rFonts w:ascii="仿宋_GB2312" w:hAnsi="仿宋_GB2312" w:cs="仿宋_GB2312" w:eastAsia="仿宋_GB2312"/>
              </w:rPr>
              <w:t>(11）教师或者其他工作人员擅离岗位，不履行职责，或者虽在工作岗位但未履行职责，或者违反工作要求、操作规程或职业道德；</w:t>
            </w:r>
          </w:p>
          <w:p>
            <w:pPr>
              <w:pStyle w:val="null3"/>
            </w:pPr>
            <w:r>
              <w:rPr>
                <w:rFonts w:ascii="仿宋_GB2312" w:hAnsi="仿宋_GB2312" w:cs="仿宋_GB2312" w:eastAsia="仿宋_GB2312"/>
              </w:rPr>
              <w:t>(12）对未成年学生擅自离校等与学生人身安全直接相关的信息，学校发现或者知道，但未及时告知未成年学生的监护人，导致未成年学生因脱离监护人的保护而发生伤害；</w:t>
            </w:r>
          </w:p>
          <w:p>
            <w:pPr>
              <w:pStyle w:val="null3"/>
            </w:pPr>
            <w:r>
              <w:rPr>
                <w:rFonts w:ascii="仿宋_GB2312" w:hAnsi="仿宋_GB2312" w:cs="仿宋_GB2312" w:eastAsia="仿宋_GB2312"/>
              </w:rPr>
              <w:t>(13）学校知道或者应当知道学生患有传染性疾病，未采取必要的隔离防范措施导致其他学生感染；</w:t>
            </w:r>
          </w:p>
          <w:p>
            <w:pPr>
              <w:pStyle w:val="null3"/>
            </w:pPr>
            <w:r>
              <w:rPr>
                <w:rFonts w:ascii="仿宋_GB2312" w:hAnsi="仿宋_GB2312" w:cs="仿宋_GB2312" w:eastAsia="仿宋_GB2312"/>
              </w:rPr>
              <w:t>(14）学校有未依法履行职责的其他情形。</w:t>
            </w:r>
          </w:p>
          <w:p>
            <w:pPr>
              <w:pStyle w:val="null3"/>
            </w:pPr>
            <w:r>
              <w:rPr>
                <w:rFonts w:ascii="仿宋_GB2312" w:hAnsi="仿宋_GB2312" w:cs="仿宋_GB2312" w:eastAsia="仿宋_GB2312"/>
                <w:b/>
              </w:rPr>
              <w:t>(三）</w:t>
            </w:r>
            <w:r>
              <w:rPr>
                <w:rFonts w:ascii="仿宋_GB2312" w:hAnsi="仿宋_GB2312" w:cs="仿宋_GB2312" w:eastAsia="仿宋_GB2312"/>
                <w:b/>
              </w:rPr>
              <w:t>服务价格</w:t>
            </w:r>
            <w:r>
              <w:rPr>
                <w:rFonts w:ascii="仿宋_GB2312" w:hAnsi="仿宋_GB2312" w:cs="仿宋_GB2312" w:eastAsia="仿宋_GB2312"/>
              </w:rPr>
              <w:t>：</w:t>
            </w:r>
            <w:r>
              <w:rPr>
                <w:rFonts w:ascii="仿宋_GB2312" w:hAnsi="仿宋_GB2312" w:cs="仿宋_GB2312" w:eastAsia="仿宋_GB2312"/>
              </w:rPr>
              <w:t>暂定</w:t>
            </w:r>
            <w:r>
              <w:rPr>
                <w:rFonts w:ascii="仿宋_GB2312" w:hAnsi="仿宋_GB2312" w:cs="仿宋_GB2312" w:eastAsia="仿宋_GB2312"/>
              </w:rPr>
              <w:t>73万元，每生每年10元保费，根据秋季开学后实际在校学生数，核定后按照实际人数支付36.5万，生均不足部分由承保单位向各学校开具发票</w:t>
            </w:r>
            <w:r>
              <w:rPr>
                <w:rFonts w:ascii="仿宋_GB2312" w:hAnsi="仿宋_GB2312" w:cs="仿宋_GB2312" w:eastAsia="仿宋_GB2312"/>
              </w:rPr>
              <w:t>（</w:t>
            </w:r>
            <w:r>
              <w:rPr>
                <w:rFonts w:ascii="仿宋_GB2312" w:hAnsi="仿宋_GB2312" w:cs="仿宋_GB2312" w:eastAsia="仿宋_GB2312"/>
              </w:rPr>
              <w:t>义务教育阶段学校由学校公用经费中支出</w:t>
            </w:r>
            <w:r>
              <w:rPr>
                <w:rFonts w:ascii="仿宋_GB2312" w:hAnsi="仿宋_GB2312" w:cs="仿宋_GB2312" w:eastAsia="仿宋_GB2312"/>
              </w:rPr>
              <w:t>，</w:t>
            </w:r>
            <w:r>
              <w:rPr>
                <w:rFonts w:ascii="仿宋_GB2312" w:hAnsi="仿宋_GB2312" w:cs="仿宋_GB2312" w:eastAsia="仿宋_GB2312"/>
              </w:rPr>
              <w:t>其他学校由学校统一购买</w:t>
            </w:r>
            <w:r>
              <w:rPr>
                <w:rFonts w:ascii="仿宋_GB2312" w:hAnsi="仿宋_GB2312" w:cs="仿宋_GB2312" w:eastAsia="仿宋_GB2312"/>
              </w:rPr>
              <w:t>）</w:t>
            </w:r>
            <w:r>
              <w:rPr>
                <w:rFonts w:ascii="仿宋_GB2312" w:hAnsi="仿宋_GB2312" w:cs="仿宋_GB2312" w:eastAsia="仿宋_GB2312"/>
              </w:rPr>
              <w:t>。</w:t>
            </w:r>
          </w:p>
          <w:p>
            <w:pPr>
              <w:pStyle w:val="null3"/>
              <w:jc w:val="both"/>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w:t>
            </w:r>
            <w:r>
              <w:rPr>
                <w:rFonts w:ascii="仿宋_GB2312" w:hAnsi="仿宋_GB2312" w:cs="仿宋_GB2312" w:eastAsia="仿宋_GB2312"/>
                <w:b/>
              </w:rPr>
              <w:t>特别注意</w:t>
            </w:r>
          </w:p>
          <w:p>
            <w:pPr>
              <w:pStyle w:val="null3"/>
            </w:pPr>
            <w:r>
              <w:rPr>
                <w:rFonts w:ascii="仿宋_GB2312" w:hAnsi="仿宋_GB2312" w:cs="仿宋_GB2312" w:eastAsia="仿宋_GB2312"/>
              </w:rPr>
              <w:t>本项目单人保费合计</w:t>
            </w:r>
            <w:r>
              <w:rPr>
                <w:rFonts w:ascii="仿宋_GB2312" w:hAnsi="仿宋_GB2312" w:cs="仿宋_GB2312" w:eastAsia="仿宋_GB2312"/>
              </w:rPr>
              <w:t>10元/人，保费以投保时实际统计学生人数计算，本项目执行统一价格标准据实结算。故本项目对各供应商报价不进行评审，供应商制作响应文件时无论是首轮报价还是二次报价，所有关于确需填写的价格（单价或总价）均按本项目预算：730,000.00元进行填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一、服务内容：供应商按照采购人的要求提供服务和产品，并符合相关法律条款。 二、服务方式：供应商为周至县公办中小学幼儿园承保，发生安全事故按照合同约定及时赔付。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2025年9月1日00:00-2026年8月31日24:00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按照本项目磋商文件、成交供应商响应文件及合同进行验收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自签订合同之日起</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一方违反本项目采购需求中所规定的义务，违约方在收到守约方要求纠正其违约行为的书面通知之日，应立即停止其违约行为，违约方向守约方承担本项目服务费金额10%违约金，并在三十(30)日内赔偿守约方因此受到的所有损失。如违约方继续进行违约行为或不履行其义务，守约方除就其包括直接损失、间接损失、可得利益损失、甲方对第三方的赔偿、诉讼费、律师费、调查取证费、差旅费等因乙方违约所发生的全部费用外，亦有权提前终止本项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商务要求均为实质性要求，不允许负偏离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2024年度经审计的财务报告复印件（包含审计报告和审计报告中所涉及的财务报表和报表附注），②也可提供供应商内部的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2024年6月1日至今已缴存的任一月份的社会保障资金缴存单据或社保机构开具的社会保险参保缴费情况证明，依法不需要缴纳社会保障资金的供应商应提供相关文件证明；②提供2024年6月1日至今已缴纳的至少一个月的纳税证明或完税证明，依法免税的单位应提供相关证明材料）； 5.具备履行合同所必需的设备和专业技术能力的证明材料（按照磋商文件格式提供《投标函》完成承诺）； 6.参加政府采购活动前3年内在经营活动中没有重大违法记录的承诺函（按照磋商文件格式提供《投标函》完成承诺）； 7.具备法律、行政法规规定的其他条件的证明材料（按照磋商文件格式提供《投标函》完成承诺）；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磋商响应第一次报价表.docx 服务内容及服务邀请应答表 中小企业声明函 商务应答表 供应商应提交的相关资格证明材料 报价表 赔偿限额.docx 响应文件封面 残疾人福利性单位声明函 服务方案 标的清单 响应函 监狱企业的证明文件 法定代表人授权书格式.docx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①可提供2024年度经审计的财务报告复印件（包含审计报告和审计报告中所涉及的财务报表和报表附注）， ②也可提供供应商内部的2024年度财务报表复印件（至少包含资产负债表）， ③也可提供截至响应文件递交截止日一年内银行出具的资信证明（复印件）， ④供应商注册时间截至响应文件递交截止日不足一年的，也可提供加盖工商备案主管部门印章的公司章程复印件， 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 按采购文件规定格式提供授权书及法定代表人、被授权人身份证明；</w:t>
            </w:r>
          </w:p>
        </w:tc>
        <w:tc>
          <w:tcPr>
            <w:tcW w:type="dxa" w:w="1661"/>
          </w:tcPr>
          <w:p>
            <w:pPr>
              <w:pStyle w:val="null3"/>
            </w:pPr>
            <w:r>
              <w:rPr>
                <w:rFonts w:ascii="仿宋_GB2312" w:hAnsi="仿宋_GB2312" w:cs="仿宋_GB2312" w:eastAsia="仿宋_GB2312"/>
              </w:rPr>
              <w:t>响应文件封面 法定代表人授权书格式.docx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供应商具有有效的《保险许可证》</w:t>
            </w:r>
          </w:p>
        </w:tc>
        <w:tc>
          <w:tcPr>
            <w:tcW w:type="dxa" w:w="3322"/>
          </w:tcPr>
          <w:p>
            <w:pPr>
              <w:pStyle w:val="null3"/>
            </w:pPr>
            <w:r>
              <w:rPr>
                <w:rFonts w:ascii="仿宋_GB2312" w:hAnsi="仿宋_GB2312" w:cs="仿宋_GB2312" w:eastAsia="仿宋_GB2312"/>
              </w:rPr>
              <w:t>供应商具有有效的《保险许可证》；提供证书复印件</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单位负责人为同一人或者存在直接控股、管理关系的不同投标人，不得同时参加本次采购活；提供承诺函</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磋商响应第一次报价表.docx 服务内容及服务邀请应答表 商务应答表 服务方案 标的清单 报价表 赔偿限额.docx 响应函 法定代表人授权书格式.docx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每生每年累计赔偿限额（含死亡、伤残）</w:t>
            </w:r>
          </w:p>
        </w:tc>
        <w:tc>
          <w:tcPr>
            <w:tcW w:type="dxa" w:w="2492"/>
          </w:tcPr>
          <w:p>
            <w:pPr>
              <w:pStyle w:val="null3"/>
            </w:pPr>
            <w:r>
              <w:rPr>
                <w:rFonts w:ascii="仿宋_GB2312" w:hAnsi="仿宋_GB2312" w:cs="仿宋_GB2312" w:eastAsia="仿宋_GB2312"/>
              </w:rPr>
              <w:t>按供应商所报每生每年累计赔偿限额（含死亡、伤残）从高到低排序，最高赔付金额为评标基准，得2.5分，每生每年累计赔偿限额（含死亡、伤残）得分=（各供应商每生每年累计赔偿金额/评标基准）×2.5（校园方责任险）</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每所学校每年累计事故赔偿限额（校园方责任险）</w:t>
            </w:r>
          </w:p>
        </w:tc>
        <w:tc>
          <w:tcPr>
            <w:tcW w:type="dxa" w:w="2492"/>
          </w:tcPr>
          <w:p>
            <w:pPr>
              <w:pStyle w:val="null3"/>
            </w:pPr>
            <w:r>
              <w:rPr>
                <w:rFonts w:ascii="仿宋_GB2312" w:hAnsi="仿宋_GB2312" w:cs="仿宋_GB2312" w:eastAsia="仿宋_GB2312"/>
              </w:rPr>
              <w:t>按供应商所提供每所学校每年事故赔偿限额从高到低排序，最高赔付金额为评标基准，得2.5分，每所学校每年事故赔偿限额（校园方责任险）得分=（各供应商每所学校每年事故赔偿限额金额/评标基准）×2.5（校园方责任险）</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每生每年累计赔偿限额（校园方无过失责任险）</w:t>
            </w:r>
          </w:p>
        </w:tc>
        <w:tc>
          <w:tcPr>
            <w:tcW w:type="dxa" w:w="2492"/>
          </w:tcPr>
          <w:p>
            <w:pPr>
              <w:pStyle w:val="null3"/>
            </w:pPr>
            <w:r>
              <w:rPr>
                <w:rFonts w:ascii="仿宋_GB2312" w:hAnsi="仿宋_GB2312" w:cs="仿宋_GB2312" w:eastAsia="仿宋_GB2312"/>
              </w:rPr>
              <w:t>按供应商所报每生每年累计赔偿金额从高到低排序，最高赔付费用为评标基准，得2.5分，每生每年累计赔偿限额（校园方无过失责任险）得分=（各供应商每生每年累计赔偿限额金额/评标基准）×2.5（校园方无过失责任险）</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每所学校每年累计事故赔偿限额（无过失责任）</w:t>
            </w:r>
          </w:p>
        </w:tc>
        <w:tc>
          <w:tcPr>
            <w:tcW w:type="dxa" w:w="2492"/>
          </w:tcPr>
          <w:p>
            <w:pPr>
              <w:pStyle w:val="null3"/>
            </w:pPr>
            <w:r>
              <w:rPr>
                <w:rFonts w:ascii="仿宋_GB2312" w:hAnsi="仿宋_GB2312" w:cs="仿宋_GB2312" w:eastAsia="仿宋_GB2312"/>
              </w:rPr>
              <w:t>按供应商所报每所学校每年无过失责任险金额从高到低排序，最高报价为评标基准价，得2.5分，每所学校每次事故赔偿限额（校园方无过失责任险）报价得分=（各供应商每所学校每年事故赔偿限额金额/评标基准）×2.5（校园方无过失责任险）</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供应商开展校方责任保险业务并提供2022年9月1日至今同类项目业绩合同证明材料（以保单复印件或合同复印件或中标/成交通知书为准）（每份2分，满分10分）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承保服务（1）</w:t>
            </w:r>
          </w:p>
        </w:tc>
        <w:tc>
          <w:tcPr>
            <w:tcW w:type="dxa" w:w="2492"/>
          </w:tcPr>
          <w:p>
            <w:pPr>
              <w:pStyle w:val="null3"/>
            </w:pPr>
            <w:r>
              <w:rPr>
                <w:rFonts w:ascii="仿宋_GB2312" w:hAnsi="仿宋_GB2312" w:cs="仿宋_GB2312" w:eastAsia="仿宋_GB2312"/>
              </w:rPr>
              <w:t>5个工作日内按要求出具正式保险单和发票，承诺能够提供得2分，否则不得分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承保服务（2）</w:t>
            </w:r>
          </w:p>
        </w:tc>
        <w:tc>
          <w:tcPr>
            <w:tcW w:type="dxa" w:w="2492"/>
          </w:tcPr>
          <w:p>
            <w:pPr>
              <w:pStyle w:val="null3"/>
            </w:pPr>
            <w:r>
              <w:rPr>
                <w:rFonts w:ascii="仿宋_GB2312" w:hAnsi="仿宋_GB2312" w:cs="仿宋_GB2312" w:eastAsia="仿宋_GB2312"/>
              </w:rPr>
              <w:t>能够承诺若全部被保险学校学生总数变动幅度不超过5%的不增加保费的得2分，未做承诺不得分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承保服务保障措施</w:t>
            </w:r>
          </w:p>
        </w:tc>
        <w:tc>
          <w:tcPr>
            <w:tcW w:type="dxa" w:w="2492"/>
          </w:tcPr>
          <w:p>
            <w:pPr>
              <w:pStyle w:val="null3"/>
            </w:pPr>
            <w:r>
              <w:rPr>
                <w:rFonts w:ascii="仿宋_GB2312" w:hAnsi="仿宋_GB2312" w:cs="仿宋_GB2312" w:eastAsia="仿宋_GB2312"/>
              </w:rPr>
              <w:t>一、评审内容 针对本项目采购内容提出适用于本项目的承保服务保障措施，承保服务保障措施包括：①设有 24 小时热线客户咨询服务、投诉举报电话，有专人接听记录、受理；②如对服务态度、服务质量较差的业务人员有具体处罚办法； 二、评审标准 1、完整性：内容必须全面，对评审内容中的各项要求有详细描述； 2、可实施性：切合本项目实际情况，提出步骤清晰、合理的内容； 3、针对性：内容能够紧扣项目实际情况，科学、合理。 三、赋分标准 ①设有 24 小时热线客户咨询服务、投诉举报电话，有专人接听记录、受理：每完全满足一个评审标准得1分，满分3分； ②如对服务态度、服务质量较差的业务人员有具体处罚办法：每完全满足一个评审标准得1分，满分3分；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一、评审内容 针对本项目采购内容提出适用于本项目的理赔服务方案，理赔服务方案包括：①建立针对本项目的专项工作小组，理赔流程详尽合理，方便快捷，有整套完善的理赔措施；②对校方责任事故处理的理赔时效；③重大事故的协商处理方案； ④能够认同采购人对特殊事故的处理意见，有通融赔付机制和案例；⑤对学校提供理赔材料有欠缺的能协助处理；⑥上门收取学校理赔资料的服务流程； 二、评审标准 1、完整性：方案必须全面，对评审内容中的各项要求有详细描述； 2、可实施性：切合本项目实际情况，提出步骤清晰、合理的方案； 3、针对性：方案能够紧扣项目实际情况，内容科学合理。 三、赋分标准 ①建立针对本项目的专项工作小组，理赔流程详尽合理，方便快捷，有整套完善的理赔措施：每完全满足一个评审标准得2分，满分6分；②对校方责任事故处理的理赔时效：每完全满足一个评审标准得2分，满分6分；③重大事故的协商处理方案：每完全满足一个评审标准得2分，满分6分；④能够认同采购人对特殊事故的处理意见，有通融赔付机制和案例：每完全满足一个评审标准得2分，满分6分；⑤对学校提供理赔材料有欠缺的能协助处理：每完全满足一个评审标准得2分，满分6分；⑥上门收取学校理赔资料的服务流程：每完全满足一个评审标准得2分，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理赔服务（1）</w:t>
            </w:r>
          </w:p>
        </w:tc>
        <w:tc>
          <w:tcPr>
            <w:tcW w:type="dxa" w:w="2492"/>
          </w:tcPr>
          <w:p>
            <w:pPr>
              <w:pStyle w:val="null3"/>
            </w:pPr>
            <w:r>
              <w:rPr>
                <w:rFonts w:ascii="仿宋_GB2312" w:hAnsi="仿宋_GB2312" w:cs="仿宋_GB2312" w:eastAsia="仿宋_GB2312"/>
              </w:rPr>
              <w:t>对可认定责任的事故不设报案时限的得2分，其他不得分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理赔服务（2）</w:t>
            </w:r>
          </w:p>
        </w:tc>
        <w:tc>
          <w:tcPr>
            <w:tcW w:type="dxa" w:w="2492"/>
          </w:tcPr>
          <w:p>
            <w:pPr>
              <w:pStyle w:val="null3"/>
            </w:pPr>
            <w:r>
              <w:rPr>
                <w:rFonts w:ascii="仿宋_GB2312" w:hAnsi="仿宋_GB2312" w:cs="仿宋_GB2312" w:eastAsia="仿宋_GB2312"/>
              </w:rPr>
              <w:t>能够承诺做到接报案后在1个工作日内提出处理意见的得2分，否则不得分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其他服务方案</w:t>
            </w:r>
          </w:p>
        </w:tc>
        <w:tc>
          <w:tcPr>
            <w:tcW w:type="dxa" w:w="2492"/>
          </w:tcPr>
          <w:p>
            <w:pPr>
              <w:pStyle w:val="null3"/>
            </w:pPr>
            <w:r>
              <w:rPr>
                <w:rFonts w:ascii="仿宋_GB2312" w:hAnsi="仿宋_GB2312" w:cs="仿宋_GB2312" w:eastAsia="仿宋_GB2312"/>
              </w:rPr>
              <w:t>一、评审内容 针对本项目采购内容提出适用于本项目的其他服务方案，其他服务方案包括：①法律援助服务；②增值服务；③特色服务； 二、评审标准 1、完整性：方案必须全面，对评审内容中的各项要求有详细描述； 2、可实施性：切合本项目实际情况，提出步骤清晰、合理的内容 3、针对性：方案能够紧扣项目实际情况，内容科学合理。 三、赋分标准 ①法律援助服务：每完全满足一个评审标准得1分，满分3分； ②增值服务：每完全满足一个评审标准得2分，满分6分； ③特色服务：每完全满足一个评审标准得2分，满分6分；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服务措施</w:t>
            </w:r>
          </w:p>
        </w:tc>
        <w:tc>
          <w:tcPr>
            <w:tcW w:type="dxa" w:w="2492"/>
          </w:tcPr>
          <w:p>
            <w:pPr>
              <w:pStyle w:val="null3"/>
            </w:pPr>
            <w:r>
              <w:rPr>
                <w:rFonts w:ascii="仿宋_GB2312" w:hAnsi="仿宋_GB2312" w:cs="仿宋_GB2312" w:eastAsia="仿宋_GB2312"/>
              </w:rPr>
              <w:t>一、评审内容 针对本项目采购内容提出适用于本项目的服务措施，服务措施包括：①售后服务方案；②够针对本项目提供专项售后服务团队或服务机构；③能够考虑并满足教育行业服务的需求，能够协助采购人及其学校做好对被保险对象的培训和风险管理工作； 二、评审标准 1、完整性：内容必须全面，对评审内容中的各项要求有详细描述； 2、可实施性：切合本项目实际情况，提出步骤清晰、合理的内容； 3、针对性：内容能够紧扣项目实际情况，科学、合理。 三、赋分标准 ①售后服务方案：每完全满足一个评审标准得2分，满分6分； ②够针对本项目提供专项售后服务团队或服务机构：每完全满足一个评审标准得1分，满分3分； ③能够考虑并满足教育行业服务的需求，能够协助采购人及其学校做好对被保险对象的培训和风险管理工作：每完全满足一个评审标准得2分，满分6分；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详见附件：法定代表人授权书格式.docx</w:t>
      </w:r>
    </w:p>
    <w:p>
      <w:pPr>
        <w:pStyle w:val="null3"/>
        <w:ind w:firstLine="960"/>
      </w:pPr>
      <w:r>
        <w:rPr>
          <w:rFonts w:ascii="仿宋_GB2312" w:hAnsi="仿宋_GB2312" w:cs="仿宋_GB2312" w:eastAsia="仿宋_GB2312"/>
        </w:rPr>
        <w:t>详见附件：磋商响应第一次报价表.docx</w:t>
      </w:r>
    </w:p>
    <w:p>
      <w:pPr>
        <w:pStyle w:val="null3"/>
        <w:ind w:firstLine="960"/>
      </w:pPr>
      <w:r>
        <w:rPr>
          <w:rFonts w:ascii="仿宋_GB2312" w:hAnsi="仿宋_GB2312" w:cs="仿宋_GB2312" w:eastAsia="仿宋_GB2312"/>
        </w:rPr>
        <w:t>详见附件：赔偿限额.docx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