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版本号：HXCG2025-08-1820250818001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周至县社会福利院空气能及卫生间改造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HXCG2025-08-18</w:t>
      </w:r>
      <w:r>
        <w:br/>
      </w:r>
      <w:r>
        <w:br/>
      </w:r>
      <w:r>
        <w:br/>
      </w:r>
    </w:p>
    <w:p>
      <w:pPr>
        <w:pStyle w:val="null3"/>
        <w:jc w:val="center"/>
        <w:outlineLvl w:val="2"/>
      </w:pPr>
      <w:r>
        <w:rPr>
          <w:rFonts w:ascii="仿宋_GB2312" w:hAnsi="仿宋_GB2312" w:cs="仿宋_GB2312" w:eastAsia="仿宋_GB2312"/>
          <w:sz w:val="28"/>
          <w:b/>
        </w:rPr>
        <w:t>西安市周至县社会福利院</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西安市周至县社会福利院</w:t>
      </w:r>
      <w:r>
        <w:rPr>
          <w:rFonts w:ascii="仿宋_GB2312" w:hAnsi="仿宋_GB2312" w:cs="仿宋_GB2312" w:eastAsia="仿宋_GB2312"/>
        </w:rPr>
        <w:t>委托，拟对</w:t>
      </w:r>
      <w:r>
        <w:rPr>
          <w:rFonts w:ascii="仿宋_GB2312" w:hAnsi="仿宋_GB2312" w:cs="仿宋_GB2312" w:eastAsia="仿宋_GB2312"/>
        </w:rPr>
        <w:t>周至县社会福利院空气能及卫生间改造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HXCG2025-08-18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周至县社会福利院空气能及卫生间改造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周至县社会福利院空气能及卫生间改造项目，主要建设内容具体详见工程量清单及图纸。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采购包1（周至县社会福利院空气能及卫生间改造）：属于专门面向中小企业采购。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2、供应商授权合法的人员参加投标全过程：法定代表人直接参加磋商的，须出具法定代表人身份证明及法定代表人身份证；法定代表人授权代表参加磋商的，须出具法定代表人授权书及授权代表身份证</w:t>
      </w:r>
    </w:p>
    <w:p>
      <w:pPr>
        <w:pStyle w:val="null3"/>
      </w:pPr>
      <w:r>
        <w:rPr>
          <w:rFonts w:ascii="仿宋_GB2312" w:hAnsi="仿宋_GB2312" w:cs="仿宋_GB2312" w:eastAsia="仿宋_GB2312"/>
        </w:rPr>
        <w:t>3、企业资质：供应商须具备建筑机电安装工程专业承包三级以上（含三级）资质或机电工程施工总承包三级以上（含三级）资质，具备建设行政主管部门颁发的有效安全生产许可证</w:t>
      </w:r>
    </w:p>
    <w:p>
      <w:pPr>
        <w:pStyle w:val="null3"/>
      </w:pPr>
      <w:r>
        <w:rPr>
          <w:rFonts w:ascii="仿宋_GB2312" w:hAnsi="仿宋_GB2312" w:cs="仿宋_GB2312" w:eastAsia="仿宋_GB2312"/>
        </w:rPr>
        <w:t>4、项目经理要求：项目经理具备机电工程专业二级以上(含二级)建造师证书和有效的安全生产考核合格证书(建安B证)，在本单位注册，且无在建工程（提供承诺书）</w:t>
      </w:r>
    </w:p>
    <w:p>
      <w:pPr>
        <w:pStyle w:val="null3"/>
      </w:pPr>
      <w:r>
        <w:rPr>
          <w:rFonts w:ascii="仿宋_GB2312" w:hAnsi="仿宋_GB2312" w:cs="仿宋_GB2312" w:eastAsia="仿宋_GB2312"/>
        </w:rPr>
        <w:t>5、财务状况报告：供应商须提供2024年度经审计的财务报告或开标前六个月内其基本账户银行出具的资信证明或财政部门认可的政府采购专业担保机构出具的担保函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6、有依法缴纳税收和社会保障资金的良好记录：供应商须提供2025年1月以来任意1个月依法缴纳税收和社会保险的相关证明材料；注：依法免税或不需要缴纳社会保险的供应商提供相关部门出具的证明文件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7、参加政府采购活动前3年内，在经营活动中没有重大违法记录：供应商须提供参加政府采购活动前3年内在经营活动中没有重大违法记录的书面声明</w:t>
      </w:r>
    </w:p>
    <w:p>
      <w:pPr>
        <w:pStyle w:val="null3"/>
      </w:pPr>
      <w:r>
        <w:rPr>
          <w:rFonts w:ascii="仿宋_GB2312" w:hAnsi="仿宋_GB2312" w:cs="仿宋_GB2312" w:eastAsia="仿宋_GB2312"/>
        </w:rPr>
        <w:t>8、本项目不接受联合体磋商：本项目不接受联合体磋商，提供书面承诺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周至县二曲街道渭旗村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87151501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陕西省西安市经济技术开发区凤城十二路与文景路交汇处首创国际城八期64栋楼307室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18091783671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采购包1：1,514,904.00元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代理服务费收费标准：按照国家计委颁布的《招标代理服务收费管理暂行办法》（计价格『2002』1980号）文中规定的收费标准下浮20%向采购代理机构一次性全额支付。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西安市周至县社会福利院</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西安市周至县社会福利院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联系人：于工</w:t>
      </w:r>
    </w:p>
    <w:p>
      <w:pPr>
        <w:pStyle w:val="null3"/>
      </w:pPr>
      <w:r>
        <w:rPr>
          <w:rFonts w:ascii="仿宋_GB2312" w:hAnsi="仿宋_GB2312" w:cs="仿宋_GB2312" w:eastAsia="仿宋_GB2312"/>
        </w:rPr>
        <w:t>联系电话：18091783671</w:t>
      </w:r>
    </w:p>
    <w:p>
      <w:pPr>
        <w:pStyle w:val="null3"/>
      </w:pPr>
      <w:r>
        <w:rPr>
          <w:rFonts w:ascii="仿宋_GB2312" w:hAnsi="仿宋_GB2312" w:cs="仿宋_GB2312" w:eastAsia="仿宋_GB2312"/>
        </w:rPr>
        <w:t>地址：陕西省西安市经济技术开发区凤城十二路与文景路交汇处首创国际城八期64栋楼307室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1,514,904.00</w:t>
      </w:r>
    </w:p>
    <w:p>
      <w:pPr>
        <w:pStyle w:val="null3"/>
      </w:pPr>
      <w:r>
        <w:rPr>
          <w:rFonts w:ascii="仿宋_GB2312" w:hAnsi="仿宋_GB2312" w:cs="仿宋_GB2312" w:eastAsia="仿宋_GB2312"/>
        </w:rPr>
        <w:t>采购包最高限价（元）: 1,514,904.00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周至县社会福利院空气能及卫生间改造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1,514,904.00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标的名称：周至县社会福利院空气能及卫生间改造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详见附件</w:t>
            </w:r>
            <w:r>
              <w:rPr>
                <w:rFonts w:ascii="仿宋_GB2312" w:hAnsi="仿宋_GB2312" w:cs="仿宋_GB2312" w:eastAsia="仿宋_GB2312"/>
                <w:sz w:val="19"/>
                <w:color w:val="000000"/>
              </w:rPr>
              <w:t>“工程量清单”</w:t>
            </w:r>
            <w:r>
              <w:rPr>
                <w:rFonts w:ascii="仿宋_GB2312" w:hAnsi="仿宋_GB2312" w:cs="仿宋_GB2312" w:eastAsia="仿宋_GB2312"/>
                <w:sz w:val="19"/>
                <w:color w:val="000000"/>
              </w:rPr>
              <w:t>及</w:t>
            </w:r>
            <w:r>
              <w:rPr>
                <w:rFonts w:ascii="仿宋_GB2312" w:hAnsi="仿宋_GB2312" w:cs="仿宋_GB2312" w:eastAsia="仿宋_GB2312"/>
                <w:sz w:val="19"/>
                <w:color w:val="000000"/>
              </w:rPr>
              <w:t>“图纸”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1.本项目工期：60天。 2.磋商最后报价，采购内容无实质性变更的情况，不得超过第一次磋商报价，各供应商最后报价中所有报价 (与最后磋商报价比例一致) 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法定代表人直接参加磋商的，须出具法定代表人身份证明及法定代表人身份证；法定代表人授权代表参加磋商的，须出具法定代表人授权书及授权代表身份证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供应商须具备建筑机电安装工程专业承包三级以上（含三级）资质或机电工程施工总承包三级以上（含三级）资质，具备建设行政主管部门颁发的有效安全生产许可证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项目经理具备机电工程专业二级以上(含二级)建造师证书和有效的安全生产考核合格证书(建安B证)，在本单位注册，且无在建工程（提供承诺书）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 无在建承诺书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供应商须提供2025年1月以来任意1个月依法缴纳税收和社会保险的相关证明材料；注：依法免税或不需要缴纳社会保险的供应商提供相关部门出具的证明文件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供应商须提供参加政府采购活动前3年内在经营活动中没有重大违法记录的书面声明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施工组织设计 中小企业声明函 授权委托书 技术服务合同条款及其他商务要求应答表 供应商应提交的相关资格证明材料 无在建承诺书 强制优先采购产品承诺函 响应文件封面 供应商认为有必要补充说明的事项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针对本项目提供的施工方案及技术措施进行综合评审。 1、实施方案比较详细完整、可行，较利于项目实施的得[0～3)分； 2、实施方案详细、完整，可行、有针对性，满足项目实施的得[3～7)分； 3、实施方案非常详细并且完整可行、有针对性，完全满足项目实施的得[7～10]分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确保工程质量的技术组织措施（0～10分） 1、方案科学合理，先进，可操作性强，针对性强，完全满足本项目需求的得[7-10]分；2、方案较明确，有较好的可操作性，能满足本项目需求的得[3-7)分；3、方案可操作性较差，能基本满足本项目需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确保安全生产的技术组织措施（0～10分） 1、方案科学合理，先进，可操作性强，针对性强，完全满足本项目需求的得[7-10]分；2、方案较明确，有较好的可操作性，能满足本项目需求的得[3-7)分；3、方案可操作性较差，能基本满足本项目需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确保文明施工的技术组织措施及环境保护措施（0～10分） 1、方案科学合理，先进，可操作性强，针对性强，完全满足本项目需求的得[7-10]分；2、方案较明确，有较好的可操作性，能满足本项目需求的得[3-7)；3、方案可操作性较差，能基本满足本项目需求的得[0-3)分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确保工期的技术组织措施（0～10分）1、 方案科学合理，先进，可操作性强，针对性强，完全满足本项目需求的得[7-10]分；2、方案较明确，有较好的可操作性，能满足本项目需求的得[3-7)分；3、方案可操作性较差，能基本满足本项目需求的得[0-3)分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施工机械配备和材料投入计划（0～8分） 1、完全满足本项目需要得[4-8]分；2、基本满足得[0-4)分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项目风险预测与防范、事故应急预案（0～8分） 1、方案科学合理，先进，可操作性强，针对性强，完全满足本项目需求的得[6-8]分；2、方案较明确，有较好的可操作性，能满足本项目需求的得[3-6)分；3、方案可操作性较差，能基本满足本项目需求的得[0-3)分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近五年（2020 年8月1日至今）有类似项目业绩，每有 1项得 2 分，最多得 4 分。 注：1.以合同协议书复印件为准。 2.时间以合同协议书签订时间为准。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施工组织设计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 磋商报价得分=（磋商基准价/最终磋商报价）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详见附件：无在建承诺书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