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版本号：HXZK2025ZC082300920250824001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九峰镇南千户村杂果生产路硬化项目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九峰镇南千户村杂果生产路硬化项目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九峰镇南千户村杂果生产路硬化项目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九峰镇南千户村杂果生产路硬化项目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采购包1（九峰镇南千户村杂果生产路硬化项目）：属于专门面向中小企业采购。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采购包1：1,677,298.00元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1,677,298.00</w:t>
      </w:r>
    </w:p>
    <w:p>
      <w:pPr>
        <w:pStyle w:val="null3"/>
      </w:pPr>
      <w:r>
        <w:rPr>
          <w:rFonts w:ascii="仿宋_GB2312" w:hAnsi="仿宋_GB2312" w:cs="仿宋_GB2312" w:eastAsia="仿宋_GB2312"/>
        </w:rPr>
        <w:t>采购包最高限价（元）: 1,677,298.00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九峰镇南千户村杂果生产路硬化项目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1,677,298.00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标的名称：九峰镇南千户村杂果生产路硬化项目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w:t>
            </w:r>
            <w:r>
              <w:rPr>
                <w:rFonts w:ascii="仿宋_GB2312" w:hAnsi="仿宋_GB2312" w:cs="仿宋_GB2312" w:eastAsia="仿宋_GB2312"/>
                <w:sz w:val="18"/>
                <w:color w:val="000000"/>
              </w:rPr>
              <w:t>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 xml:space="preserve">：本项目采用：天宇e算软件西安市水利招投标系统，版本v1.2.2（ 202401-02）                                                                                                </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 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供应商提供2022年1月起至今的类似业绩证明材料，时间以合同签订日期为准，（文件中附合同复印件），每提供一项上述业绩的得2分，最高得8分。不提供或缺项不得分。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