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版本号：QH2025-CS-08320250902002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周至县2025年主要农作物秸秆机械化综合利用项目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QH2025-CS-083</w:t>
      </w:r>
      <w:r>
        <w:br/>
      </w:r>
      <w:r>
        <w:br/>
      </w:r>
      <w:r>
        <w:br/>
      </w:r>
    </w:p>
    <w:p>
      <w:pPr>
        <w:pStyle w:val="null3"/>
        <w:jc w:val="center"/>
        <w:outlineLvl w:val="2"/>
      </w:pPr>
      <w:r>
        <w:rPr>
          <w:rFonts w:ascii="仿宋_GB2312" w:hAnsi="仿宋_GB2312" w:cs="仿宋_GB2312" w:eastAsia="仿宋_GB2312"/>
          <w:sz w:val="28"/>
          <w:b/>
        </w:rPr>
        <w:t>西安市周至县农业机械化推广工作站</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西安市周至县农业机械化推广工作站</w:t>
      </w:r>
      <w:r>
        <w:rPr>
          <w:rFonts w:ascii="仿宋_GB2312" w:hAnsi="仿宋_GB2312" w:cs="仿宋_GB2312" w:eastAsia="仿宋_GB2312"/>
        </w:rPr>
        <w:t>委托，拟对</w:t>
      </w:r>
      <w:r>
        <w:rPr>
          <w:rFonts w:ascii="仿宋_GB2312" w:hAnsi="仿宋_GB2312" w:cs="仿宋_GB2312" w:eastAsia="仿宋_GB2312"/>
        </w:rPr>
        <w:t>周至县2025年主要农作物秸秆机械化综合利用项目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QH2025-CS-083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周至县2025年主要农作物秸秆机械化综合利用项目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周至县2025年主要农作物秸秆机械化综合利用项目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7、履行合同能力说明：提供具有履行本合同所必需的设备和专业技术能力的说明及承诺书；</w:t>
      </w:r>
    </w:p>
    <w:p>
      <w:pPr>
        <w:pStyle w:val="null3"/>
      </w:pPr>
      <w:r>
        <w:rPr>
          <w:rFonts w:ascii="仿宋_GB2312" w:hAnsi="仿宋_GB2312" w:cs="仿宋_GB2312" w:eastAsia="仿宋_GB2312"/>
        </w:rPr>
        <w:t>8、没有重大违法记录声明：参加政府采购活动前3年内，在经营活动中没有重大违法记录的书面声明；</w:t>
      </w:r>
    </w:p>
    <w:p>
      <w:pPr>
        <w:pStyle w:val="null3"/>
      </w:pPr>
      <w:r>
        <w:rPr>
          <w:rFonts w:ascii="仿宋_GB2312" w:hAnsi="仿宋_GB2312" w:cs="仿宋_GB2312" w:eastAsia="仿宋_GB2312"/>
        </w:rPr>
        <w:t>9、不接受联合体磋商：本项目不接受联合体磋商（需提供非联合体承诺）。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西安市周至县农业机械化推广工作站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周至县老城西街96号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西安市周至县农业机械化推广工作站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87151964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采购包1：719,590.00元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西安市周至县农业机械化推广工作站</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西安市周至县农业机械化推广工作站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质量验收执行现行的国家标准，没有国家标准的，执行地方标准或行业标准。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周至县2025年主要农作物秸秆机械化综合利用项目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719,590.00</w:t>
      </w:r>
    </w:p>
    <w:p>
      <w:pPr>
        <w:pStyle w:val="null3"/>
      </w:pPr>
      <w:r>
        <w:rPr>
          <w:rFonts w:ascii="仿宋_GB2312" w:hAnsi="仿宋_GB2312" w:cs="仿宋_GB2312" w:eastAsia="仿宋_GB2312"/>
        </w:rPr>
        <w:t>采购包最高限价（元）: 715,000.00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周至县2025年主要农作物秸秆机械化综合利用项目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719,590.00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标的名称：周至县2025年主要农作物秸秆机械化综合利用项目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12"/>
              <w:gridCol w:w="439"/>
              <w:gridCol w:w="214"/>
              <w:gridCol w:w="213"/>
              <w:gridCol w:w="1460"/>
            </w:tblGrid>
            <w:tr>
              <w:tc>
                <w:tcPr>
                  <w:tcW w:type="dxa" w:w="212"/>
                  <w:tcBorders>
                    <w:top w:val="single" w:color="000000" w:sz="4"/>
                    <w:left w:val="single" w:color="000000" w:sz="4"/>
                    <w:bottom w:val="single" w:color="000000" w:sz="4"/>
                    <w:right w:val="single" w:color="000000" w:sz="4"/>
                  </w:tcBorders>
                  <w:shd w:fill="FEFEFE"/>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39"/>
                  <w:tcBorders>
                    <w:top w:val="single" w:color="000000" w:sz="4"/>
                    <w:left w:val="none" w:color="000000" w:sz="4"/>
                    <w:bottom w:val="single" w:color="000000" w:sz="4"/>
                    <w:right w:val="single" w:color="000000" w:sz="4"/>
                  </w:tcBorders>
                  <w:shd w:fill="FEFEFE"/>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品名</w:t>
                  </w:r>
                </w:p>
              </w:tc>
              <w:tc>
                <w:tcPr>
                  <w:tcW w:type="dxa" w:w="214"/>
                  <w:tcBorders>
                    <w:top w:val="single" w:color="000000" w:sz="4"/>
                    <w:left w:val="none" w:color="000000" w:sz="4"/>
                    <w:bottom w:val="single" w:color="000000" w:sz="4"/>
                    <w:right w:val="single" w:color="000000" w:sz="4"/>
                  </w:tcBorders>
                  <w:shd w:fill="FEFEFE"/>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3"/>
                  <w:tcBorders>
                    <w:top w:val="single" w:color="000000" w:sz="4"/>
                    <w:left w:val="none" w:color="000000" w:sz="4"/>
                    <w:bottom w:val="single" w:color="000000" w:sz="4"/>
                    <w:right w:val="single" w:color="000000" w:sz="4"/>
                  </w:tcBorders>
                  <w:shd w:fill="FEFEFE"/>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460"/>
                  <w:tcBorders>
                    <w:top w:val="single" w:color="000000" w:sz="4"/>
                    <w:left w:val="none" w:color="000000" w:sz="4"/>
                    <w:bottom w:val="single" w:color="000000" w:sz="4"/>
                    <w:right w:val="single" w:color="000000" w:sz="4"/>
                  </w:tcBorders>
                  <w:shd w:fill="FEFEFE"/>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r>
            <w:tr>
              <w:tc>
                <w:tcPr>
                  <w:tcW w:type="dxa" w:w="212"/>
                  <w:tcBorders>
                    <w:top w:val="none" w:color="000000" w:sz="4"/>
                    <w:left w:val="single" w:color="000000" w:sz="4"/>
                    <w:bottom w:val="single" w:color="000000" w:sz="4"/>
                    <w:right w:val="single" w:color="000000" w:sz="4"/>
                  </w:tcBorders>
                  <w:shd w:fill="FEFEF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9"/>
                  <w:tcBorders>
                    <w:top w:val="none" w:color="000000" w:sz="4"/>
                    <w:left w:val="none" w:color="000000" w:sz="4"/>
                    <w:bottom w:val="single" w:color="000000" w:sz="4"/>
                    <w:right w:val="single" w:color="000000" w:sz="4"/>
                  </w:tcBorders>
                  <w:shd w:fill="FEFEFE"/>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玉米秸秆青贮机</w:t>
                  </w:r>
                </w:p>
              </w:tc>
              <w:tc>
                <w:tcPr>
                  <w:tcW w:type="dxa" w:w="214"/>
                  <w:tcBorders>
                    <w:top w:val="none" w:color="000000" w:sz="4"/>
                    <w:left w:val="none" w:color="000000" w:sz="4"/>
                    <w:bottom w:val="single" w:color="000000" w:sz="4"/>
                    <w:right w:val="single" w:color="000000" w:sz="4"/>
                  </w:tcBorders>
                  <w:shd w:fill="FEFEF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3"/>
                  <w:tcBorders>
                    <w:top w:val="none" w:color="000000" w:sz="4"/>
                    <w:left w:val="none" w:color="000000" w:sz="4"/>
                    <w:bottom w:val="single" w:color="000000" w:sz="4"/>
                    <w:right w:val="single" w:color="000000" w:sz="4"/>
                  </w:tcBorders>
                  <w:shd w:fill="FEFEF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60"/>
                  <w:tcBorders>
                    <w:top w:val="none" w:color="000000" w:sz="4"/>
                    <w:left w:val="none" w:color="000000" w:sz="4"/>
                    <w:bottom w:val="single" w:color="000000" w:sz="4"/>
                    <w:right w:val="single" w:color="000000" w:sz="4"/>
                  </w:tcBorders>
                  <w:shd w:fill="FEFEFE"/>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变速方式：手动变速</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形式：自走式</w:t>
                  </w:r>
                </w:p>
                <w:p>
                  <w:pPr>
                    <w:pStyle w:val="null3"/>
                    <w:jc w:val="left"/>
                  </w:pPr>
                  <w:r>
                    <w:rPr>
                      <w:rFonts w:ascii="仿宋_GB2312" w:hAnsi="仿宋_GB2312" w:cs="仿宋_GB2312" w:eastAsia="仿宋_GB2312"/>
                      <w:sz w:val="24"/>
                      <w:color w:val="000000"/>
                    </w:rPr>
                    <w:t>3、工作状态外形尺寸：≥6700㎜*3325㎜*4780㎜</w:t>
                  </w:r>
                </w:p>
                <w:p>
                  <w:pPr>
                    <w:pStyle w:val="null3"/>
                    <w:jc w:val="left"/>
                  </w:pPr>
                  <w:r>
                    <w:rPr>
                      <w:rFonts w:ascii="仿宋_GB2312" w:hAnsi="仿宋_GB2312" w:cs="仿宋_GB2312" w:eastAsia="仿宋_GB2312"/>
                      <w:sz w:val="24"/>
                      <w:color w:val="000000"/>
                    </w:rPr>
                    <w:t>4、割幅宽度：≥2010㎜</w:t>
                  </w:r>
                </w:p>
                <w:p>
                  <w:pPr>
                    <w:pStyle w:val="null3"/>
                    <w:jc w:val="left"/>
                  </w:pPr>
                  <w:r>
                    <w:rPr>
                      <w:rFonts w:ascii="仿宋_GB2312" w:hAnsi="仿宋_GB2312" w:cs="仿宋_GB2312" w:eastAsia="仿宋_GB2312"/>
                      <w:sz w:val="24"/>
                      <w:color w:val="000000"/>
                    </w:rPr>
                    <w:t>5、作物收集割台型式：直切割台</w:t>
                  </w:r>
                </w:p>
                <w:p>
                  <w:pPr>
                    <w:pStyle w:val="null3"/>
                    <w:jc w:val="left"/>
                  </w:pPr>
                  <w:r>
                    <w:rPr>
                      <w:rFonts w:ascii="仿宋_GB2312" w:hAnsi="仿宋_GB2312" w:cs="仿宋_GB2312" w:eastAsia="仿宋_GB2312"/>
                      <w:sz w:val="24"/>
                      <w:color w:val="000000"/>
                    </w:rPr>
                    <w:t>6、割台切割器型式：圆盘式割刀</w:t>
                  </w:r>
                </w:p>
                <w:p>
                  <w:pPr>
                    <w:pStyle w:val="null3"/>
                    <w:jc w:val="left"/>
                  </w:pPr>
                  <w:r>
                    <w:rPr>
                      <w:rFonts w:ascii="仿宋_GB2312" w:hAnsi="仿宋_GB2312" w:cs="仿宋_GB2312" w:eastAsia="仿宋_GB2312"/>
                      <w:sz w:val="24"/>
                      <w:color w:val="000000"/>
                    </w:rPr>
                    <w:t>7、喂入机构型式：喂入辊</w:t>
                  </w:r>
                </w:p>
                <w:p>
                  <w:pPr>
                    <w:pStyle w:val="null3"/>
                    <w:jc w:val="left"/>
                  </w:pPr>
                  <w:r>
                    <w:rPr>
                      <w:rFonts w:ascii="仿宋_GB2312" w:hAnsi="仿宋_GB2312" w:cs="仿宋_GB2312" w:eastAsia="仿宋_GB2312"/>
                      <w:sz w:val="24"/>
                      <w:color w:val="000000"/>
                    </w:rPr>
                    <w:t>8、籽粒破碎机构型式：对辊式</w:t>
                  </w:r>
                </w:p>
                <w:p>
                  <w:pPr>
                    <w:pStyle w:val="null3"/>
                    <w:jc w:val="left"/>
                  </w:pPr>
                  <w:r>
                    <w:rPr>
                      <w:rFonts w:ascii="仿宋_GB2312" w:hAnsi="仿宋_GB2312" w:cs="仿宋_GB2312" w:eastAsia="仿宋_GB2312"/>
                      <w:sz w:val="24"/>
                      <w:color w:val="000000"/>
                    </w:rPr>
                    <w:t>9、秸秆切碎机构型式：滚筒式</w:t>
                  </w:r>
                </w:p>
                <w:p>
                  <w:pPr>
                    <w:pStyle w:val="null3"/>
                    <w:jc w:val="left"/>
                  </w:pPr>
                  <w:r>
                    <w:rPr>
                      <w:rFonts w:ascii="仿宋_GB2312" w:hAnsi="仿宋_GB2312" w:cs="仿宋_GB2312" w:eastAsia="仿宋_GB2312"/>
                      <w:sz w:val="24"/>
                      <w:color w:val="000000"/>
                    </w:rPr>
                    <w:t>10、配套发动机额定功率：≥220KW</w:t>
                  </w:r>
                </w:p>
                <w:p>
                  <w:pPr>
                    <w:pStyle w:val="null3"/>
                    <w:jc w:val="left"/>
                  </w:pPr>
                  <w:r>
                    <w:rPr>
                      <w:rFonts w:ascii="仿宋_GB2312" w:hAnsi="仿宋_GB2312" w:cs="仿宋_GB2312" w:eastAsia="仿宋_GB2312"/>
                      <w:sz w:val="24"/>
                      <w:color w:val="000000"/>
                    </w:rPr>
                    <w:t>11、驱动方式：液压驱动</w:t>
                  </w:r>
                </w:p>
                <w:p>
                  <w:pPr>
                    <w:pStyle w:val="null3"/>
                    <w:jc w:val="left"/>
                  </w:pPr>
                  <w:r>
                    <w:rPr>
                      <w:rFonts w:ascii="仿宋_GB2312" w:hAnsi="仿宋_GB2312" w:cs="仿宋_GB2312" w:eastAsia="仿宋_GB2312"/>
                      <w:sz w:val="24"/>
                      <w:color w:val="000000"/>
                    </w:rPr>
                    <w:t>12、刀头数量：割台刀头数量：16把</w:t>
                  </w:r>
                </w:p>
                <w:p>
                  <w:pPr>
                    <w:pStyle w:val="null3"/>
                    <w:jc w:val="left"/>
                  </w:pPr>
                  <w:r>
                    <w:rPr>
                      <w:rFonts w:ascii="仿宋_GB2312" w:hAnsi="仿宋_GB2312" w:cs="仿宋_GB2312" w:eastAsia="仿宋_GB2312"/>
                      <w:sz w:val="24"/>
                      <w:color w:val="000000"/>
                    </w:rPr>
                    <w:t xml:space="preserve">         籽粒</w:t>
                  </w:r>
                  <w:r>
                    <w:rPr>
                      <w:rFonts w:ascii="仿宋_GB2312" w:hAnsi="仿宋_GB2312" w:cs="仿宋_GB2312" w:eastAsia="仿宋_GB2312"/>
                      <w:sz w:val="24"/>
                      <w:color w:val="000000"/>
                    </w:rPr>
                    <w:t>破碎刀头</w:t>
                  </w:r>
                  <w:r>
                    <w:rPr>
                      <w:rFonts w:ascii="仿宋_GB2312" w:hAnsi="仿宋_GB2312" w:cs="仿宋_GB2312" w:eastAsia="仿宋_GB2312"/>
                      <w:sz w:val="24"/>
                      <w:color w:val="000000"/>
                    </w:rPr>
                    <w:t>：12把</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注：本项目预算价：719590.00元，最高限价：715000.00元，投标单位响应报价高于项目最高限价，其响应文件将按无效处理。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供货完成并验收合格，财政资金下达后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质量验收执行现行的国家标准，没有国家标准的，执行地方标准或行业标准。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所有产品的质保期为验收合格后12个月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本项目不接受联合体磋商（需提供非联合体承诺）。</w:t>
            </w:r>
          </w:p>
        </w:tc>
        <w:tc>
          <w:tcPr>
            <w:tcW w:type="dxa" w:w="1661"/>
          </w:tcPr>
          <w:p>
            <w:pPr>
              <w:pStyle w:val="null3"/>
            </w:pPr>
            <w:r>
              <w:rPr>
                <w:rFonts w:ascii="仿宋_GB2312" w:hAnsi="仿宋_GB2312" w:cs="仿宋_GB2312" w:eastAsia="仿宋_GB2312"/>
              </w:rPr>
              <w:t>供应商应提交的相关资格证明材料(1).docx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中小企业声明函 供应商应提交的相关资格证明材料(1).docx 业绩docx.docx 商务应答表 报价表 响应文件封面 产品技术参数表 分项报价表.docx 残疾人福利性单位声明函 标的清单 响应函 磋商方案说明书(1).docx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中小企业声明函 供应商应提交的相关资格证明材料(1).docx 业绩docx.docx 商务应答表 报价表 响应文件封面 产品技术参数表 分项报价表.docx 残疾人福利性单位声明函 标的清单 响应函 磋商方案说明书(1).docx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报价是否超过最高限价</w:t>
            </w:r>
          </w:p>
        </w:tc>
        <w:tc>
          <w:tcPr>
            <w:tcW w:type="dxa" w:w="3322"/>
          </w:tcPr>
          <w:p>
            <w:pPr>
              <w:pStyle w:val="null3"/>
            </w:pPr>
            <w:r>
              <w:rPr>
                <w:rFonts w:ascii="仿宋_GB2312" w:hAnsi="仿宋_GB2312" w:cs="仿宋_GB2312" w:eastAsia="仿宋_GB2312"/>
              </w:rPr>
              <w:t>本项目最高限价：715000.00元，投标单位响应报价高于项目最高限价，其响应文件将按无效处理。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投标产品技术参数清楚、明确，有相应齐全的技术资料，完全满足招标技术参数要求得24分；负偏离一项扣2分，扣完为止； 评审依据：技术参数及性能指标清楚、明确，技术资料齐全，供应商应提供详细的证明材料，不限于投标产品注册证及附件、（产品）彩页（如有）、（产品）说明书、 检测/检验报告、产品功能说明等；无证明资料或证明资料不能证明其满足参数技术指标的，将被视为负偏离。</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磋商方案说明书(1).docx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根据投标人针对本项目实施方案： ①质量保证计划 ②供货质量保障措施、质量保障制度 完全满足采购需求并符合本项目实施特点的得8分；以上方面中每缺少一方面内容扣4分；每有一处内容与实际需求不符或不满足要求或与本项目需求不切合或直接套用其他项目内容的扣2分，扣完为止。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根据投标人针对本项目实施方案： ①货配送方案 ②运输保管方案 ③人员配备 ④产品调换方案 ⑤出现紧急情况下的应急方案 完全满足采购需求并符合本项目实施特点的得10分；以上方面中每缺少一方面内容扣2分；每有一处内容与实际需求不符或不满足要求或与本项目需求不切合或直接套用其他项目内容的扣1分，扣完为止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磋商方案说明书(1).docx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制定相应的售后服务方案： ①调换货响应时效 ②具体可行的售后服务措施承诺 ③明确详细的售后服务人员组成和安排 ④为招标人提供必要的技术支持等内容 根据响应程度进行综合评分。完全满足采购需求并符合本项目实施特点的得4分；以上方面中每缺少一方面内容扣1分；每有一处内容与实际需求不符或不满足要求或与本项目需求不切合或直接套用其他项目内容的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磋商方案说明书(1).docx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有完整的培训方案: ①培训内容 ②培训方式 ③培训人员 符合实际需求得6分，每缺少一项内容扣2分，某一项不完整或与实际需求不符或不满足要求或与本项目需求不切合或直接套用其他项目内容的扣1分，扣完为止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磋商方案说明书(1).docx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需提供本项目针对项目的应急响应服务： ①应急响应保障人员 ②应急响应保障方案 ③应急响应时效 ④应急响应方法 完全满足采购需求并符合本项目实施特点的得8分；以上内容中每缺少一项内容扣 2分；每有一处内容与实际需求不符或不满足要求或与本项目需求不切合或直接套用其他项目内容的扣1分，扣完为止。未提供不得分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磋商方案说明书(1).docx</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投标人针对本项目提供的项目进度计划方案包含但不限于： ①提供供货进度计划 ②供货时间保障 完全满足采购需求并符合本项目实施特点的得4分；以上方面中每缺少一方面内容扣2分；每有一处内容与实际需求不符或不满足要求或与本项目需求不切合或直接套用其他项目内容的扣1分，扣完为止。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提供2022年1月1日至今所业绩合同（以合同签订时间为准）1个业绩计2分，最高得6分。 评审依据：须提供完整清晰的合同复印件并加盖公章。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磋商方案说明书(1).docx</w:t>
            </w:r>
          </w:p>
          <w:p>
            <w:pPr>
              <w:pStyle w:val="null3"/>
            </w:pPr>
            <w:r>
              <w:rPr>
                <w:rFonts w:ascii="仿宋_GB2312" w:hAnsi="仿宋_GB2312" w:cs="仿宋_GB2312" w:eastAsia="仿宋_GB2312"/>
              </w:rPr>
              <w:t>业绩docx.docx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 2、有效最低报价为基准价得30分。 3、按（有效最低报价/有效投标报价）×30的公式计算报价得分。 4、投标报价不完整的，不进入评标基准价的计算，本项得0分。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详见附件：供应商应提交的相关资格证明材料(1).docx</w:t>
      </w:r>
    </w:p>
    <w:p>
      <w:pPr>
        <w:pStyle w:val="null3"/>
        <w:ind w:firstLine="960"/>
      </w:pPr>
      <w:r>
        <w:rPr>
          <w:rFonts w:ascii="仿宋_GB2312" w:hAnsi="仿宋_GB2312" w:cs="仿宋_GB2312" w:eastAsia="仿宋_GB2312"/>
        </w:rPr>
        <w:t>详见附件：磋商方案说明书(1).docx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详见附件：业绩docx.docx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