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版本号：ZJXG2025095-120250911001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佛坪厅故城荣聚站、城隍庙东西配殿保护修缮工程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ZJXG2025095-1</w:t>
      </w:r>
      <w:r>
        <w:br/>
      </w:r>
      <w:r>
        <w:br/>
      </w:r>
      <w:r>
        <w:br/>
      </w:r>
    </w:p>
    <w:p>
      <w:pPr>
        <w:pStyle w:val="null3"/>
        <w:jc w:val="center"/>
        <w:outlineLvl w:val="2"/>
      </w:pPr>
      <w:r>
        <w:rPr>
          <w:rFonts w:ascii="仿宋_GB2312" w:hAnsi="仿宋_GB2312" w:cs="仿宋_GB2312" w:eastAsia="仿宋_GB2312"/>
          <w:sz w:val="28"/>
          <w:b/>
        </w:rPr>
        <w:t>西安市周至县老县城文物管理所</w:t>
      </w:r>
    </w:p>
    <w:p>
      <w:pPr>
        <w:pStyle w:val="null3"/>
        <w:jc w:val="center"/>
        <w:outlineLvl w:val="2"/>
      </w:pPr>
      <w:r>
        <w:rPr>
          <w:rFonts w:ascii="仿宋_GB2312" w:hAnsi="仿宋_GB2312" w:cs="仿宋_GB2312" w:eastAsia="仿宋_GB2312"/>
          <w:sz w:val="28"/>
          <w:b/>
        </w:rPr>
        <w:t>陕西中鉴项目管理有限公司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陕西中鉴项目管理有限公司</w:t>
      </w:r>
      <w:r>
        <w:rPr>
          <w:rFonts w:ascii="仿宋_GB2312" w:hAnsi="仿宋_GB2312" w:cs="仿宋_GB2312" w:eastAsia="仿宋_GB2312"/>
        </w:rPr>
        <w:t>（以下简称“代理机构”）受</w:t>
      </w:r>
      <w:r>
        <w:rPr>
          <w:rFonts w:ascii="仿宋_GB2312" w:hAnsi="仿宋_GB2312" w:cs="仿宋_GB2312" w:eastAsia="仿宋_GB2312"/>
        </w:rPr>
        <w:t>西安市周至县老县城文物管理所</w:t>
      </w:r>
      <w:r>
        <w:rPr>
          <w:rFonts w:ascii="仿宋_GB2312" w:hAnsi="仿宋_GB2312" w:cs="仿宋_GB2312" w:eastAsia="仿宋_GB2312"/>
        </w:rPr>
        <w:t>委托，拟对</w:t>
      </w:r>
      <w:r>
        <w:rPr>
          <w:rFonts w:ascii="仿宋_GB2312" w:hAnsi="仿宋_GB2312" w:cs="仿宋_GB2312" w:eastAsia="仿宋_GB2312"/>
        </w:rPr>
        <w:t>佛坪厅故城荣聚站、城隍庙东西配殿保护修缮工程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ZJXG2025095-1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佛坪厅故城荣聚站、城隍庙东西配殿保护修缮工程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佛坪厅故城荣聚站、城隍庙东西配殿保护修缮工程，具体工作内容详见竞争性磋商文件。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采购包1（佛坪厅故城荣聚站、城隍庙东西配殿保护修缮工程）：属于专门面向中小企业采购。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1、有效的主体资格证明：具有独立承担民事责任能力的法人、其他组织或自然人，并出具合法有效的相关证明材料。供应商需在项目电子化交易系统中按要求上传相应证明文件并进行电子签章；</w:t>
      </w:r>
    </w:p>
    <w:p>
      <w:pPr>
        <w:pStyle w:val="null3"/>
      </w:pPr>
      <w:r>
        <w:rPr>
          <w:rFonts w:ascii="仿宋_GB2312" w:hAnsi="仿宋_GB2312" w:cs="仿宋_GB2312" w:eastAsia="仿宋_GB2312"/>
        </w:rPr>
        <w:t>2、财务状况报告：①可提供2023或2024年度经审计的财务报告（包含审计报告和审计报告中所涉及的财务报表和报表附注），②可提供2023或2024年度供应商完整的全套财务报表（应当包括资产负债表、利润表、现金流量表、所有者权益变动表、附注），③可提供截至竞争性磋商响应文件提交截止日一年内银行出具的资信证明，④供应商注册时间截至竞争性磋商响应文件提交截止日不足一年的，也可提供在工商管理部门备案的公司章程。供应商需在项目电子化交易系统中按要求上传相应证明文件并进行电子签章；</w:t>
      </w:r>
    </w:p>
    <w:p>
      <w:pPr>
        <w:pStyle w:val="null3"/>
      </w:pPr>
      <w:r>
        <w:rPr>
          <w:rFonts w:ascii="仿宋_GB2312" w:hAnsi="仿宋_GB2312" w:cs="仿宋_GB2312" w:eastAsia="仿宋_GB2312"/>
        </w:rPr>
        <w:t>3、税收缴纳证明：提供2025年1月至今已缴纳的1个月的纳税证明或完税证明，依法免税的单位应提供相关证明材料。供应商需在项目电子化交易系统中按要求上传相应证明文件并进行电子签章；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4、社会保障资金缴纳证明：提供2025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5、履行合同所必需的设备和专业技术能力：提供具有履行合同所必需的设备和专业技术能力的承诺。供应商需在项目电子化交易系统中按要求上传相应证明文件并进行电子签章；</w:t>
      </w:r>
    </w:p>
    <w:p>
      <w:pPr>
        <w:pStyle w:val="null3"/>
      </w:pPr>
      <w:r>
        <w:rPr>
          <w:rFonts w:ascii="仿宋_GB2312" w:hAnsi="仿宋_GB2312" w:cs="仿宋_GB2312" w:eastAsia="仿宋_GB2312"/>
        </w:rPr>
        <w:t>6、前三年无重大违法记录声明：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p>
      <w:pPr>
        <w:pStyle w:val="null3"/>
      </w:pPr>
      <w:r>
        <w:rPr>
          <w:rFonts w:ascii="仿宋_GB2312" w:hAnsi="仿宋_GB2312" w:cs="仿宋_GB2312" w:eastAsia="仿宋_GB2312"/>
        </w:rPr>
        <w:t>7、授权书及被授权人身份证：法定代表人参加磋商的，须提供法定代表人身份证；法定代表人授权本单位他人参加磋商的，须提供法定代表人授权委托书及被授权代表开标截止前三个月内任意一个月在本单位的社会保险缴纳证明，非法人单位参照执行。供应商需在项目电子化交易系统中按要求上传相应证明文件并进行电子签章；</w:t>
      </w:r>
    </w:p>
    <w:p>
      <w:pPr>
        <w:pStyle w:val="null3"/>
      </w:pPr>
      <w:r>
        <w:rPr>
          <w:rFonts w:ascii="仿宋_GB2312" w:hAnsi="仿宋_GB2312" w:cs="仿宋_GB2312" w:eastAsia="仿宋_GB2312"/>
        </w:rPr>
        <w:t>8、企业资质：供应商须具备文物保护工程施工二级及以上资质且具备有效的安全生产许可证；供应商需在项目电子化交易系统中按要求上传相应证明文件并进行电子签章</w:t>
      </w:r>
    </w:p>
    <w:p>
      <w:pPr>
        <w:pStyle w:val="null3"/>
      </w:pPr>
      <w:r>
        <w:rPr>
          <w:rFonts w:ascii="仿宋_GB2312" w:hAnsi="仿宋_GB2312" w:cs="仿宋_GB2312" w:eastAsia="仿宋_GB2312"/>
        </w:rPr>
        <w:t>9、项目负责人：须具备文物保护工程责任工程师证书，且无在建项目（提供承诺书）；供应商需在项目电子化交易系统中按要求上传相应证明文件并进行电子签章；</w:t>
      </w:r>
    </w:p>
    <w:p>
      <w:pPr>
        <w:pStyle w:val="null3"/>
      </w:pPr>
      <w:r>
        <w:rPr>
          <w:rFonts w:ascii="仿宋_GB2312" w:hAnsi="仿宋_GB2312" w:cs="仿宋_GB2312" w:eastAsia="仿宋_GB2312"/>
        </w:rPr>
        <w:t>10、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w:t>
      </w:r>
    </w:p>
    <w:p>
      <w:pPr>
        <w:pStyle w:val="null3"/>
      </w:pPr>
      <w:r>
        <w:rPr>
          <w:rFonts w:ascii="仿宋_GB2312" w:hAnsi="仿宋_GB2312" w:cs="仿宋_GB2312" w:eastAsia="仿宋_GB2312"/>
        </w:rPr>
        <w:t>11、中小企业：本合同包为专门面向中小企业采购（提供中小企业声明函或监狱企业的证明文件或残疾人福利性单位声明函）。供应商需在项目电子化交易系统中按要求上传相应证明文件并进行电子签章；</w:t>
      </w:r>
    </w:p>
    <w:p>
      <w:pPr>
        <w:pStyle w:val="null3"/>
      </w:pPr>
      <w:r>
        <w:rPr>
          <w:rFonts w:ascii="仿宋_GB2312" w:hAnsi="仿宋_GB2312" w:cs="仿宋_GB2312" w:eastAsia="仿宋_GB2312"/>
        </w:rPr>
        <w:t>12、其他要求：①单位负责人为同一人或者存在直接控股、管理关系的不同供应商不得参加同一合同项下的政府采购活动。②为本项目提供整体设计、规范编制或者项目管理、监理、检测等服务的供应商，不得再参加该采购项目的其他采购活动；供应商需在项目电子化交易系统中按要求上传相应证明文件并进行电子签章；</w:t>
      </w:r>
    </w:p>
    <w:p>
      <w:pPr>
        <w:pStyle w:val="null3"/>
      </w:pPr>
      <w:r>
        <w:rPr>
          <w:rFonts w:ascii="仿宋_GB2312" w:hAnsi="仿宋_GB2312" w:cs="仿宋_GB2312" w:eastAsia="仿宋_GB2312"/>
        </w:rPr>
        <w:t>13、是否接受联合体投标：本项目不接受联合体投标，供应商需在项目电子化交易系统中按要求上传相应证明文件并进行电子签章。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西安市周至县老县城文物管理所</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周至县厚畛子镇老县城村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西安市周至县佛坪厅旧城文物管理所经办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029-87113117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陕西中鉴项目管理有限公司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陕西省西安市未央区未央路109号万象未央1号楼506室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梁加豪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029-88229191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颁发的《招标代理服务收费管理暂行办法》（计价格〔2002〕1980号）和国家发展和改革委员会办公厅颁发的《关于招标代理服务收费有关问题的通知》（发改办价格〔2003〕857号）的文件收费标准计取。成交单位服务费交纳信息银行户名：陕西中鉴项目管理有限公司开户行：招商银行股份有限公司西安分行营业部账号：129911072510777联系电话：029-89193153</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西安市周至县老县城文物管理所</w:t>
      </w:r>
      <w:r>
        <w:rPr>
          <w:rFonts w:ascii="仿宋_GB2312" w:hAnsi="仿宋_GB2312" w:cs="仿宋_GB2312" w:eastAsia="仿宋_GB2312"/>
        </w:rPr>
        <w:t>和</w:t>
      </w:r>
      <w:r>
        <w:rPr>
          <w:rFonts w:ascii="仿宋_GB2312" w:hAnsi="仿宋_GB2312" w:cs="仿宋_GB2312" w:eastAsia="仿宋_GB2312"/>
        </w:rPr>
        <w:t>陕西中鉴项目管理有限公司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西安市周至县老县城文物管理所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陕西中鉴项目管理有限公司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西安市周至县老县城文物管理所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陕西中鉴项目管理有限公司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按照竞争性磋商文件及成交供应商竞争性磋商响应文件进行履约验收。</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联系人：梁加豪</w:t>
      </w:r>
    </w:p>
    <w:p>
      <w:pPr>
        <w:pStyle w:val="null3"/>
      </w:pPr>
      <w:r>
        <w:rPr>
          <w:rFonts w:ascii="仿宋_GB2312" w:hAnsi="仿宋_GB2312" w:cs="仿宋_GB2312" w:eastAsia="仿宋_GB2312"/>
        </w:rPr>
        <w:t>联系电话：029-88229191</w:t>
      </w:r>
    </w:p>
    <w:p>
      <w:pPr>
        <w:pStyle w:val="null3"/>
      </w:pPr>
      <w:r>
        <w:rPr>
          <w:rFonts w:ascii="仿宋_GB2312" w:hAnsi="仿宋_GB2312" w:cs="仿宋_GB2312" w:eastAsia="仿宋_GB2312"/>
        </w:rPr>
        <w:t>地址：陕西省西安市未央区未央路109号万象未央1号楼506室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1,020,000.00</w:t>
      </w:r>
    </w:p>
    <w:p>
      <w:pPr>
        <w:pStyle w:val="null3"/>
      </w:pPr>
      <w:r>
        <w:rPr>
          <w:rFonts w:ascii="仿宋_GB2312" w:hAnsi="仿宋_GB2312" w:cs="仿宋_GB2312" w:eastAsia="仿宋_GB2312"/>
        </w:rPr>
        <w:t>采购包最高限价（元）: 1,020,000.00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佛坪厅故城荣聚站、城隍庙东西配殿保护修缮工程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1,020,000.00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标的名称：佛坪厅故城荣聚站、城隍庙东西配殿保护修缮工程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w:t>
            </w:r>
          </w:p>
          <w:p>
            <w:pPr>
              <w:pStyle w:val="null3"/>
            </w:pPr>
            <w:r>
              <w:rPr>
                <w:rFonts w:ascii="仿宋_GB2312" w:hAnsi="仿宋_GB2312" w:cs="仿宋_GB2312" w:eastAsia="仿宋_GB2312"/>
              </w:rPr>
              <w:t>佛坪厅故城荣聚站、城隍庙东西配殿保护修缮工程，具体内容详见竞争性磋商文件。</w:t>
            </w:r>
          </w:p>
          <w:p>
            <w:pPr>
              <w:pStyle w:val="null3"/>
            </w:pPr>
            <w:r>
              <w:rPr>
                <w:rFonts w:ascii="仿宋_GB2312" w:hAnsi="仿宋_GB2312" w:cs="仿宋_GB2312" w:eastAsia="仿宋_GB2312"/>
              </w:rPr>
              <w:t>二、工程内容和施工地点、计划工期</w:t>
            </w:r>
          </w:p>
          <w:p>
            <w:pPr>
              <w:pStyle w:val="null3"/>
            </w:pPr>
            <w:r>
              <w:rPr>
                <w:rFonts w:ascii="仿宋_GB2312" w:hAnsi="仿宋_GB2312" w:cs="仿宋_GB2312" w:eastAsia="仿宋_GB2312"/>
              </w:rPr>
              <w:t>1.工程内容：佛坪厅故城荣聚站、城隍庙东西配殿保护修缮工程图纸所包含的全部内容。</w:t>
            </w:r>
          </w:p>
          <w:p>
            <w:pPr>
              <w:pStyle w:val="null3"/>
            </w:pPr>
            <w:r>
              <w:rPr>
                <w:rFonts w:ascii="仿宋_GB2312" w:hAnsi="仿宋_GB2312" w:cs="仿宋_GB2312" w:eastAsia="仿宋_GB2312"/>
              </w:rPr>
              <w:t>2.工程地点：项目位于西安市周至县</w:t>
            </w:r>
          </w:p>
          <w:p>
            <w:pPr>
              <w:pStyle w:val="null3"/>
            </w:pPr>
            <w:r>
              <w:rPr>
                <w:rFonts w:ascii="仿宋_GB2312" w:hAnsi="仿宋_GB2312" w:cs="仿宋_GB2312" w:eastAsia="仿宋_GB2312"/>
              </w:rPr>
              <w:t>3.工期：自合同签订之日起30日历天内。</w:t>
            </w:r>
          </w:p>
          <w:p>
            <w:pPr>
              <w:pStyle w:val="null3"/>
            </w:pPr>
            <w:r>
              <w:rPr>
                <w:rFonts w:ascii="仿宋_GB2312" w:hAnsi="仿宋_GB2312" w:cs="仿宋_GB2312" w:eastAsia="仿宋_GB2312"/>
              </w:rPr>
              <w:t>三、施工要求</w:t>
            </w:r>
          </w:p>
          <w:p>
            <w:pPr>
              <w:pStyle w:val="null3"/>
            </w:pPr>
            <w:r>
              <w:rPr>
                <w:rFonts w:ascii="仿宋_GB2312" w:hAnsi="仿宋_GB2312" w:cs="仿宋_GB2312" w:eastAsia="仿宋_GB2312"/>
              </w:rPr>
              <w:t>1、成交供应商必须配备足够的人员和充足的机械设备进入实施，确保按时保质保量完成任务。</w:t>
            </w:r>
          </w:p>
          <w:p>
            <w:pPr>
              <w:pStyle w:val="null3"/>
            </w:pPr>
            <w:r>
              <w:rPr>
                <w:rFonts w:ascii="仿宋_GB2312" w:hAnsi="仿宋_GB2312" w:cs="仿宋_GB2312" w:eastAsia="仿宋_GB2312"/>
              </w:rPr>
              <w:t>2、必须严密组织，文明施工，作好四周维护及安全环保措施，所需费用由成交供应商承担，施工过程必须严格遵守政府相关规定。</w:t>
            </w:r>
          </w:p>
          <w:p>
            <w:pPr>
              <w:pStyle w:val="null3"/>
            </w:pPr>
            <w:r>
              <w:rPr>
                <w:rFonts w:ascii="仿宋_GB2312" w:hAnsi="仿宋_GB2312" w:cs="仿宋_GB2312" w:eastAsia="仿宋_GB2312"/>
              </w:rPr>
              <w:t>3、严格遵守西安市关于控制扬尘污染、治污减霾的相关规定，并承担一切安全事故或违规处罚所带来的经济及法律责任。</w:t>
            </w:r>
          </w:p>
          <w:p>
            <w:pPr>
              <w:pStyle w:val="null3"/>
            </w:pPr>
            <w:r>
              <w:rPr>
                <w:rFonts w:ascii="仿宋_GB2312" w:hAnsi="仿宋_GB2312" w:cs="仿宋_GB2312" w:eastAsia="仿宋_GB2312"/>
              </w:rPr>
              <w:t>4、在施工前，承包方应制定施工方案，提出具体的防尘抑尘降尘降噪等环保措施，配备足够的防尘抑尘降尘软硬件设施，明确具体的环保要求和环保责任人、制定湿法降尘专项实施方案，并按有关标准及专项实施方案实施湿法作业，有效降尘作业，造成扬尘污染的，必须服从相关监督或管理部门发出的责令整改并接受其按有关规定进行的处理。</w:t>
            </w:r>
          </w:p>
          <w:p>
            <w:pPr>
              <w:pStyle w:val="null3"/>
            </w:pPr>
            <w:r>
              <w:rPr>
                <w:rFonts w:ascii="仿宋_GB2312" w:hAnsi="仿宋_GB2312" w:cs="仿宋_GB2312" w:eastAsia="仿宋_GB2312"/>
              </w:rPr>
              <w:t>承包方在垃圾外运中应严格遵守港务区关于治污减霾相关规定，服从采购人相关部门管理，严格做好治污减霾工作。</w:t>
            </w:r>
          </w:p>
          <w:p>
            <w:pPr>
              <w:pStyle w:val="null3"/>
            </w:pPr>
            <w:r>
              <w:rPr>
                <w:rFonts w:ascii="仿宋_GB2312" w:hAnsi="仿宋_GB2312" w:cs="仿宋_GB2312" w:eastAsia="仿宋_GB2312"/>
              </w:rPr>
              <w:t>5、承包方必须严格按照治污减霾工作要求，完成施工出入口、洗车台、监控、环境监测设备等设施施工、安装，负责场内垃圾，裸露黄土覆盖、道路冲洗等工作，并承担相关费用，同时，需根据政府相关部门要求，完成拆除、渣土和垃圾外运相关手续办理后方可进场施工。施工过程中，应无条件响应各级管理部门，招标人各项管理规定，要求停工时必须立即停工，如因承包方私自作业，不按要求施工等情况由承包方承担全部责任，由此产生的全部费用由承包方承担。</w:t>
            </w:r>
          </w:p>
          <w:p>
            <w:pPr>
              <w:pStyle w:val="null3"/>
            </w:pPr>
            <w:r>
              <w:rPr>
                <w:rFonts w:ascii="仿宋_GB2312" w:hAnsi="仿宋_GB2312" w:cs="仿宋_GB2312" w:eastAsia="仿宋_GB2312"/>
              </w:rPr>
              <w:t>6、承包方负责现场安全管理工作，并承担全部责任及由此产生的全部费用，现场人员由承包方按照相关规定办理相关保险事宜。</w:t>
            </w:r>
          </w:p>
          <w:p>
            <w:pPr>
              <w:pStyle w:val="null3"/>
            </w:pPr>
            <w:r>
              <w:rPr>
                <w:rFonts w:ascii="仿宋_GB2312" w:hAnsi="仿宋_GB2312" w:cs="仿宋_GB2312" w:eastAsia="仿宋_GB2312"/>
              </w:rPr>
              <w:t>四、商务要求</w:t>
            </w:r>
          </w:p>
          <w:p>
            <w:pPr>
              <w:pStyle w:val="null3"/>
            </w:pPr>
            <w:r>
              <w:rPr>
                <w:rFonts w:ascii="仿宋_GB2312" w:hAnsi="仿宋_GB2312" w:cs="仿宋_GB2312" w:eastAsia="仿宋_GB2312"/>
              </w:rPr>
              <w:t>付款方式：</w:t>
            </w:r>
          </w:p>
          <w:p>
            <w:pPr>
              <w:pStyle w:val="null3"/>
            </w:pPr>
            <w:r>
              <w:rPr>
                <w:rFonts w:ascii="仿宋_GB2312" w:hAnsi="仿宋_GB2312" w:cs="仿宋_GB2312" w:eastAsia="仿宋_GB2312"/>
              </w:rPr>
              <w:t>1、付款条件说明：合同签订后，达到付款条件起30日内，支付合同总金额的40.00%。</w:t>
            </w:r>
          </w:p>
          <w:p>
            <w:pPr>
              <w:pStyle w:val="null3"/>
            </w:pPr>
            <w:r>
              <w:rPr>
                <w:rFonts w:ascii="仿宋_GB2312" w:hAnsi="仿宋_GB2312" w:cs="仿宋_GB2312" w:eastAsia="仿宋_GB2312"/>
              </w:rPr>
              <w:t>2、付款条件说明：工程全部竣工验收通过后，达到付款条件起30日内，支付合同总金额的50.00%。</w:t>
            </w:r>
          </w:p>
          <w:p>
            <w:pPr>
              <w:pStyle w:val="null3"/>
            </w:pPr>
            <w:r>
              <w:rPr>
                <w:rFonts w:ascii="仿宋_GB2312" w:hAnsi="仿宋_GB2312" w:cs="仿宋_GB2312" w:eastAsia="仿宋_GB2312"/>
              </w:rPr>
              <w:t>3、付款条件说明：工程审计结束后，达到付款条件起30日内，支付合同总金额的10.00%。</w:t>
            </w:r>
          </w:p>
          <w:p>
            <w:pPr>
              <w:pStyle w:val="null3"/>
            </w:pPr>
            <w:r>
              <w:rPr>
                <w:rFonts w:ascii="仿宋_GB2312" w:hAnsi="仿宋_GB2312" w:cs="仿宋_GB2312" w:eastAsia="仿宋_GB2312"/>
              </w:rPr>
              <w:t>质量要求：</w:t>
            </w:r>
          </w:p>
          <w:p>
            <w:pPr>
              <w:pStyle w:val="null3"/>
            </w:pPr>
            <w:r>
              <w:rPr>
                <w:rFonts w:ascii="仿宋_GB2312" w:hAnsi="仿宋_GB2312" w:cs="仿宋_GB2312" w:eastAsia="仿宋_GB2312"/>
              </w:rPr>
              <w:t>达到国家及行业现行技术规范标准，符合国家及行业验收合格标准。</w:t>
            </w:r>
          </w:p>
          <w:p>
            <w:pPr>
              <w:pStyle w:val="null3"/>
            </w:pPr>
            <w:r>
              <w:rPr>
                <w:rFonts w:ascii="仿宋_GB2312" w:hAnsi="仿宋_GB2312" w:cs="仿宋_GB2312" w:eastAsia="仿宋_GB2312"/>
              </w:rPr>
              <w:t>质量保修期：</w:t>
            </w:r>
          </w:p>
          <w:p>
            <w:pPr>
              <w:pStyle w:val="null3"/>
              <w:jc w:val="both"/>
            </w:pPr>
            <w:r>
              <w:rPr>
                <w:rFonts w:ascii="仿宋_GB2312" w:hAnsi="仿宋_GB2312" w:cs="仿宋_GB2312" w:eastAsia="仿宋_GB2312"/>
                <w:sz w:val="21"/>
              </w:rPr>
              <w:t>质量保修期其他工程为二年，防水工程为五年。</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各供应商所有分项报价（与最后磋商报价比例一致）同比例下浮。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①可提供2023或2024年度经审计的财务报告（包含审计报告和审计报告中所涉及的财务报表和报表附注），②可提供2023或2024年度供应商完整的全套财务报表（应当包括资产负债表、利润表、现金流量表、所有者权益变动表、附注），③可提供截至竞争性磋商响应文件提交截止日一年内银行出具的资信证明，④供应商注册时间截至竞争性磋商响应文件提交截止日不足一年的，也可提供在工商管理部门备案的公司章程。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①可提供2023或2024年度经审计的财务报告（包含审计报告和审计报告中所涉及的财务报表和报表附注），②可提供2023或2024年度供应商完整的全套财务报表（应当包括资产负债表、利润表、现金流量表、所有者权益变动表、附注），③可提供截至竞争性磋商响应文件提交截止日一年内银行出具的资信证明，④供应商注册时间截至竞争性磋商响应文件提交截止日不足一年的，也可提供在工商管理部门备案的公司章程。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提供2025年1月至今已缴纳的1个月的纳税证明或完税证明，依法免税的单位应提供相关证明材料。供应商需在项目电子化交易系统中按要求上传相应证明文件并进行电子签章；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授权书及被授权人身份证</w:t>
            </w:r>
          </w:p>
        </w:tc>
        <w:tc>
          <w:tcPr>
            <w:tcW w:type="dxa" w:w="3322"/>
          </w:tcPr>
          <w:p>
            <w:pPr>
              <w:pStyle w:val="null3"/>
            </w:pPr>
            <w:r>
              <w:rPr>
                <w:rFonts w:ascii="仿宋_GB2312" w:hAnsi="仿宋_GB2312" w:cs="仿宋_GB2312" w:eastAsia="仿宋_GB2312"/>
              </w:rPr>
              <w:t>法定代表人参加磋商的，须提供法定代表人身份证；法定代表人授权本单位他人参加磋商的，须提供法定代表人授权委托书及被授权代表开标截止前三个月内任意一个月在本单位的社会保险缴纳证明，非法人单位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供应商须具备文物保护工程施工二级及以上资质且具备有效的安全生产许可证；供应商需在项目电子化交易系统中按要求上传相应证明文件并进行电子签章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须具备文物保护工程责任工程师证书，且无在建项目（提供承诺书）；供应商需在项目电子化交易系统中按要求上传相应证明文件并进行电子签章；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本合同包为专门面向中小企业采购（提供中小企业声明函或监狱企业的证明文件或残疾人福利性单位声明函）。供应商需在项目电子化交易系统中按要求上传相应证明文件并进行电子签章；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①单位负责人为同一人或者存在直接控股、管理关系的不同供应商不得参加同一合同项下的政府采购活动。②为本项目提供整体设计、规范编制或者项目管理、监理、检测等服务的供应商，不得再参加该采购项目的其他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施工技术方案.docx 项目管理机构组成表 供应商认为有必要补充说明的事项.docx 残疾人福利性单位声明函 报价函 标的清单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至少以下三处的项目名称、项目编号、标段与本项目完全一致： （1）竞争性磋商响应文件封面 （2）响应函 （3）法定代表人（主要负责人）委托授权书\身份证明</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施工技术方案.docx 项目管理机构组成表 供应商认为有必要补充说明的事项.docx 残疾人福利性单位声明函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竞争性磋商响应文件组成</w:t>
            </w:r>
          </w:p>
        </w:tc>
        <w:tc>
          <w:tcPr>
            <w:tcW w:type="dxa" w:w="3322"/>
          </w:tcPr>
          <w:p>
            <w:pPr>
              <w:pStyle w:val="null3"/>
            </w:pPr>
            <w:r>
              <w:rPr>
                <w:rFonts w:ascii="仿宋_GB2312" w:hAnsi="仿宋_GB2312" w:cs="仿宋_GB2312" w:eastAsia="仿宋_GB2312"/>
              </w:rPr>
              <w:t>竞争性磋商响应文件应包含竞争性磋商文件要求的所有内容</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施工技术方案.docx 项目管理机构组成表 供应商认为有必要补充说明的事项.docx 残疾人福利性单位声明函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签章或盖章</w:t>
            </w:r>
          </w:p>
        </w:tc>
        <w:tc>
          <w:tcPr>
            <w:tcW w:type="dxa" w:w="3322"/>
          </w:tcPr>
          <w:p>
            <w:pPr>
              <w:pStyle w:val="null3"/>
            </w:pPr>
            <w:r>
              <w:rPr>
                <w:rFonts w:ascii="仿宋_GB2312" w:hAnsi="仿宋_GB2312" w:cs="仿宋_GB2312" w:eastAsia="仿宋_GB2312"/>
              </w:rPr>
              <w:t>签章或盖章符合竞争性磋商文件要求，且无遗漏</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施工技术方案.docx 项目管理机构组成表 供应商认为有必要补充说明的事项.docx 残疾人福利性单位声明函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施工技术方案.docx 项目管理机构组成表 供应商认为有必要补充说明的事项.docx 残疾人福利性单位声明函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施工技术方案.docx 项目管理机构组成表 供应商认为有必要补充说明的事项.docx 残疾人福利性单位声明函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（1）货币单位符合竞争性磋商文件要求 （2）报价符合唯一性要求 （3）未超出采购预算或最高限价</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施工技术方案.docx 项目管理机构组成表 供应商认为有必要补充说明的事项.docx 残疾人福利性单位声明函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完全响应竞争性磋商文件要求的各项技术（服务）、商务实质性条款</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施工技术方案.docx 项目管理机构组成表 供应商认为有必要补充说明的事项.docx 残疾人福利性单位声明函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完全理解并响应竞争性磋商文件合同条款的要求，且未含有采购人不能接受的附加条件</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施工技术方案.docx 项目管理机构组成表 供应商认为有必要补充说明的事项.docx 残疾人福利性单位声明函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完全理解并接受法律法规和竞争性磋商文件对供应商合法经营的各类规约和责任义务要求，没有出现法律法规或竞争性磋商文件规定的其他无效情形</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施工技术方案.docx 项目管理机构组成表 供应商认为有必要补充说明的事项.docx 残疾人福利性单位声明函 供应商类似项目业绩一览表 供应商资格证明文件.docx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供应商提供的投标产品中每有一项为节能产品（非强制类）经国家认证的得0.5分，每有一项为环境标志产品经国家认证的得0.5分，供应商投标产品中每有一项产品同时为节能产品和环境标志产品得1分，最多得2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施工技术方案.docx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对该项目实施的重点、难点进行分析，对易发生质量通病、易出现安全问题、施工难度大、技术含量高的部分进行说明并给出施工保障措施和专项技术方案（含主要施工方法、组织措施、检验手段等）。 内容合理、方案具体可行、完全符合要求得7.1-10.0分； 内容较合理、方案可行性一般，基本符合要求得4.1-7.0分； 内容不完备、方案可行性差、不能全面符合要求得1.0-4.0分；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施工技术方案.docx</w:t>
            </w:r>
          </w:p>
        </w:tc>
      </w:tr>
      <w:tr>
        <w:tc>
          <w:tcPr>
            <w:tcW w:type="dxa" w:w="831"/>
            <w:vMerge/>
          </w:tcPr>
          <w:p/>
        </w:tc>
        <w:tc>
          <w:tcPr>
            <w:tcW w:type="dxa" w:w="1661"/>
          </w:tcPr>
          <w:p>
            <w:pPr>
              <w:pStyle w:val="null3"/>
            </w:pPr>
            <w:r>
              <w:rPr>
                <w:rFonts w:ascii="仿宋_GB2312" w:hAnsi="仿宋_GB2312" w:cs="仿宋_GB2312" w:eastAsia="仿宋_GB2312"/>
              </w:rPr>
              <w:t>施工进度计划安排</w:t>
            </w:r>
          </w:p>
        </w:tc>
        <w:tc>
          <w:tcPr>
            <w:tcW w:type="dxa" w:w="2492"/>
          </w:tcPr>
          <w:p>
            <w:pPr>
              <w:pStyle w:val="null3"/>
            </w:pPr>
            <w:r>
              <w:rPr>
                <w:rFonts w:ascii="仿宋_GB2312" w:hAnsi="仿宋_GB2312" w:cs="仿宋_GB2312" w:eastAsia="仿宋_GB2312"/>
              </w:rPr>
              <w:t>分析本项目进度目标及关键节点，同时针对关键节点、具体环节提出相应进度保障措施，并根据本项目的工期要求，提供全面的确保工程按期按质完成的进度计划安排。 整体进度安排（施工进度表或施工网络图）及各阶段进度保证措施内容合理、方案具体可行、完全符合要求得5.1-7.0分； 内容较合理、方案可行性一般，基本符合要求得3.1-5.0分； 内容不完备、方案可行性差、不能全面符合要求得1.0-3.0分； 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施工技术方案.docx</w:t>
            </w:r>
          </w:p>
        </w:tc>
      </w:tr>
      <w:tr>
        <w:tc>
          <w:tcPr>
            <w:tcW w:type="dxa" w:w="831"/>
            <w:vMerge/>
          </w:tcPr>
          <w:p/>
        </w:tc>
        <w:tc>
          <w:tcPr>
            <w:tcW w:type="dxa" w:w="1661"/>
          </w:tcPr>
          <w:p>
            <w:pPr>
              <w:pStyle w:val="null3"/>
            </w:pPr>
            <w:r>
              <w:rPr>
                <w:rFonts w:ascii="仿宋_GB2312" w:hAnsi="仿宋_GB2312" w:cs="仿宋_GB2312" w:eastAsia="仿宋_GB2312"/>
              </w:rPr>
              <w:t>工程质量保证措施</w:t>
            </w:r>
          </w:p>
        </w:tc>
        <w:tc>
          <w:tcPr>
            <w:tcW w:type="dxa" w:w="2492"/>
          </w:tcPr>
          <w:p>
            <w:pPr>
              <w:pStyle w:val="null3"/>
            </w:pPr>
            <w:r>
              <w:rPr>
                <w:rFonts w:ascii="仿宋_GB2312" w:hAnsi="仿宋_GB2312" w:cs="仿宋_GB2312" w:eastAsia="仿宋_GB2312"/>
              </w:rPr>
              <w:t>针对本项目制定切实可行的总体质量控制目标，且对质量控制目标进行合理分解、规划，确保本项目质量标准符合相关标准。 内容合理、方案具体可行、完全符合要求得5.1-7.0分； 内容较合理、方案可行性一般，基本符合要求得3.1-5.0分； 内容不完备、方案可行性差、不能全面符合要求得1.0-3.0分；未提供不计分。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施工技术方案.docx</w:t>
            </w:r>
          </w:p>
        </w:tc>
      </w:tr>
      <w:tr>
        <w:tc>
          <w:tcPr>
            <w:tcW w:type="dxa" w:w="831"/>
            <w:vMerge/>
          </w:tcPr>
          <w:p/>
        </w:tc>
        <w:tc>
          <w:tcPr>
            <w:tcW w:type="dxa" w:w="1661"/>
          </w:tcPr>
          <w:p>
            <w:pPr>
              <w:pStyle w:val="null3"/>
            </w:pPr>
            <w:r>
              <w:rPr>
                <w:rFonts w:ascii="仿宋_GB2312" w:hAnsi="仿宋_GB2312" w:cs="仿宋_GB2312" w:eastAsia="仿宋_GB2312"/>
              </w:rPr>
              <w:t>施工应急预案</w:t>
            </w:r>
          </w:p>
        </w:tc>
        <w:tc>
          <w:tcPr>
            <w:tcW w:type="dxa" w:w="2492"/>
          </w:tcPr>
          <w:p>
            <w:pPr>
              <w:pStyle w:val="null3"/>
            </w:pPr>
            <w:r>
              <w:rPr>
                <w:rFonts w:ascii="仿宋_GB2312" w:hAnsi="仿宋_GB2312" w:cs="仿宋_GB2312" w:eastAsia="仿宋_GB2312"/>
              </w:rPr>
              <w:t>针对本项目制定切实可行的人工、材料、设备的组织方案、给出有针对性的施工应急预案。 内容合理、方案具体可行、完全符合要求得3.1-5.0分； 内容较合理、方案可行性一般，基本符合要求得2.1-3.0分； 内容不完备、方案可行性差、不能全面符合要求得1.0-2.0分；未提供不计分。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施工技术方案.docx</w:t>
            </w:r>
          </w:p>
        </w:tc>
      </w:tr>
      <w:tr>
        <w:tc>
          <w:tcPr>
            <w:tcW w:type="dxa" w:w="831"/>
            <w:vMerge/>
          </w:tcPr>
          <w:p/>
        </w:tc>
        <w:tc>
          <w:tcPr>
            <w:tcW w:type="dxa" w:w="1661"/>
          </w:tcPr>
          <w:p>
            <w:pPr>
              <w:pStyle w:val="null3"/>
            </w:pPr>
            <w:r>
              <w:rPr>
                <w:rFonts w:ascii="仿宋_GB2312" w:hAnsi="仿宋_GB2312" w:cs="仿宋_GB2312" w:eastAsia="仿宋_GB2312"/>
              </w:rPr>
              <w:t>安全文明施工措施</w:t>
            </w:r>
          </w:p>
        </w:tc>
        <w:tc>
          <w:tcPr>
            <w:tcW w:type="dxa" w:w="2492"/>
          </w:tcPr>
          <w:p>
            <w:pPr>
              <w:pStyle w:val="null3"/>
            </w:pPr>
            <w:r>
              <w:rPr>
                <w:rFonts w:ascii="仿宋_GB2312" w:hAnsi="仿宋_GB2312" w:cs="仿宋_GB2312" w:eastAsia="仿宋_GB2312"/>
              </w:rPr>
              <w:t>结合工程环境、特点分析安全隐患，给出有针对性的安全生产、文明施工、环保施工、防尘降噪等保证措施。 安全文明、环保保证体系组织措施和控制点设置合理，内容合理、方案具体可行、完全符合要求得3.1-5.0分； 内容较合理、方案可行性一般，基本符合要求得2.1-3.0分； 内容不完备、方案可行性差、不能全面符合要求得1.0-2.0分； 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施工技术方案.docx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项目管理机构人员岗位完整，专业种类齐全，搭配合理，职位分明、有相应的技术能力。 人员配备合理、科学可行、完全符合要求得3.1-5.0分； 人员配备较合理、可行性一般，基本符合要求得2.1-3.0分； 人员配备不完备、可行性差、不能全面符合要求得1.0-2.0分；未提供不计分。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施工技术方案.docx</w:t>
            </w:r>
          </w:p>
        </w:tc>
      </w:tr>
      <w:tr>
        <w:tc>
          <w:tcPr>
            <w:tcW w:type="dxa" w:w="831"/>
            <w:vMerge/>
          </w:tcPr>
          <w:p/>
        </w:tc>
        <w:tc>
          <w:tcPr>
            <w:tcW w:type="dxa" w:w="1661"/>
          </w:tcPr>
          <w:p>
            <w:pPr>
              <w:pStyle w:val="null3"/>
            </w:pPr>
            <w:r>
              <w:rPr>
                <w:rFonts w:ascii="仿宋_GB2312" w:hAnsi="仿宋_GB2312" w:cs="仿宋_GB2312" w:eastAsia="仿宋_GB2312"/>
              </w:rPr>
              <w:t>劳动力和材料投入计划</w:t>
            </w:r>
          </w:p>
        </w:tc>
        <w:tc>
          <w:tcPr>
            <w:tcW w:type="dxa" w:w="2492"/>
          </w:tcPr>
          <w:p>
            <w:pPr>
              <w:pStyle w:val="null3"/>
            </w:pPr>
            <w:r>
              <w:rPr>
                <w:rFonts w:ascii="仿宋_GB2312" w:hAnsi="仿宋_GB2312" w:cs="仿宋_GB2312" w:eastAsia="仿宋_GB2312"/>
              </w:rPr>
              <w:t>供应商针对本项目提供详细的劳动力和材料投入计划及其保证措施。措施完备，详细、可操作性强计3.1-5.0分； 措施基本合理、较详细、可操作性一般得2.1-3.0分； 措施欠缺或内容不完备得1.0-2.0分； 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施工技术方案.docx</w:t>
            </w:r>
          </w:p>
        </w:tc>
      </w:tr>
      <w:tr>
        <w:tc>
          <w:tcPr>
            <w:tcW w:type="dxa" w:w="831"/>
            <w:vMerge/>
          </w:tcPr>
          <w:p/>
        </w:tc>
        <w:tc>
          <w:tcPr>
            <w:tcW w:type="dxa" w:w="1661"/>
          </w:tcPr>
          <w:p>
            <w:pPr>
              <w:pStyle w:val="null3"/>
            </w:pPr>
            <w:r>
              <w:rPr>
                <w:rFonts w:ascii="仿宋_GB2312" w:hAnsi="仿宋_GB2312" w:cs="仿宋_GB2312" w:eastAsia="仿宋_GB2312"/>
              </w:rPr>
              <w:t>机械设备投入计划</w:t>
            </w:r>
          </w:p>
        </w:tc>
        <w:tc>
          <w:tcPr>
            <w:tcW w:type="dxa" w:w="2492"/>
          </w:tcPr>
          <w:p>
            <w:pPr>
              <w:pStyle w:val="null3"/>
            </w:pPr>
            <w:r>
              <w:rPr>
                <w:rFonts w:ascii="仿宋_GB2312" w:hAnsi="仿宋_GB2312" w:cs="仿宋_GB2312" w:eastAsia="仿宋_GB2312"/>
              </w:rPr>
              <w:t>供应商针对本项目提供满足项目施工需要，与项目施工进度相适应的机械设备投入计划。 计划完备，详细、可行性强计3.1-5.0分； 计划较合理、较详细、基本可行得2.1-3.0分； 计划欠缺或内容不完备得1.0-2.0分； 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施工技术方案.docx</w:t>
            </w:r>
          </w:p>
        </w:tc>
      </w:tr>
      <w:tr>
        <w:tc>
          <w:tcPr>
            <w:tcW w:type="dxa" w:w="831"/>
            <w:vMerge/>
          </w:tcPr>
          <w:p/>
        </w:tc>
        <w:tc>
          <w:tcPr>
            <w:tcW w:type="dxa" w:w="1661"/>
          </w:tcPr>
          <w:p>
            <w:pPr>
              <w:pStyle w:val="null3"/>
            </w:pPr>
            <w:r>
              <w:rPr>
                <w:rFonts w:ascii="仿宋_GB2312" w:hAnsi="仿宋_GB2312" w:cs="仿宋_GB2312" w:eastAsia="仿宋_GB2312"/>
              </w:rPr>
              <w:t>现场施工扬尘环境治理管理措施</w:t>
            </w:r>
          </w:p>
        </w:tc>
        <w:tc>
          <w:tcPr>
            <w:tcW w:type="dxa" w:w="2492"/>
          </w:tcPr>
          <w:p>
            <w:pPr>
              <w:pStyle w:val="null3"/>
            </w:pPr>
            <w:r>
              <w:rPr>
                <w:rFonts w:ascii="仿宋_GB2312" w:hAnsi="仿宋_GB2312" w:cs="仿宋_GB2312" w:eastAsia="仿宋_GB2312"/>
              </w:rPr>
              <w:t>供应商针对本项目提供符合本项目实际要求的现场施工扬尘环境治理管理措施。 现场扬尘管理措施合理、有详尽的扬尘控制措施并可达到国家控制的标准得3.1-5.0分； 现场扬尘管理措施较为合理得2.1-3.0分； 现场扬尘管理措施一般得1.0-2.0分；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施工技术方案.docx</w:t>
            </w:r>
          </w:p>
        </w:tc>
      </w:tr>
      <w:tr>
        <w:tc>
          <w:tcPr>
            <w:tcW w:type="dxa" w:w="831"/>
            <w:vMerge/>
          </w:tcPr>
          <w:p/>
        </w:tc>
        <w:tc>
          <w:tcPr>
            <w:tcW w:type="dxa" w:w="1661"/>
          </w:tcPr>
          <w:p>
            <w:pPr>
              <w:pStyle w:val="null3"/>
            </w:pPr>
            <w:r>
              <w:rPr>
                <w:rFonts w:ascii="仿宋_GB2312" w:hAnsi="仿宋_GB2312" w:cs="仿宋_GB2312" w:eastAsia="仿宋_GB2312"/>
              </w:rPr>
              <w:t>新技术、新产品、新工艺、新材料应用</w:t>
            </w:r>
          </w:p>
        </w:tc>
        <w:tc>
          <w:tcPr>
            <w:tcW w:type="dxa" w:w="2492"/>
          </w:tcPr>
          <w:p>
            <w:pPr>
              <w:pStyle w:val="null3"/>
            </w:pPr>
            <w:r>
              <w:rPr>
                <w:rFonts w:ascii="仿宋_GB2312" w:hAnsi="仿宋_GB2312" w:cs="仿宋_GB2312" w:eastAsia="仿宋_GB2312"/>
              </w:rPr>
              <w:t>供应商针对本项目提出新技术、新产品、新工艺、新材料应用，并提供采用新技术、新产品、新工艺、新材料对工程质量安全、缩短工期、降低成本的措施。 方案合理、详尽、满足项目需要得3.1-5.0分；方案较为合理得2.1-3.0分， 方案一般得1.0-2.0分，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供应商自2022年9月1日以来承担过类似项目业绩。（以合同签订日期或中标通知书签署日期为准)；每提供一项业绩得2分，最高得4分。须提供合同或中标通知书复印件并加盖公章，不提供不得分。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保修承诺</w:t>
            </w:r>
          </w:p>
        </w:tc>
        <w:tc>
          <w:tcPr>
            <w:tcW w:type="dxa" w:w="2492"/>
          </w:tcPr>
          <w:p>
            <w:pPr>
              <w:pStyle w:val="null3"/>
            </w:pPr>
            <w:r>
              <w:rPr>
                <w:rFonts w:ascii="仿宋_GB2312" w:hAnsi="仿宋_GB2312" w:cs="仿宋_GB2312" w:eastAsia="仿宋_GB2312"/>
              </w:rPr>
              <w:t>根据供应商提供的保修服务承诺及优化建议等方面的承诺措施其中包括工程保修期内的定期回访方案及维修方案， 方案完善、科学合理，针对性强、服务承诺明确，计3.1-5.0分； 方案较完善、合理可行、特点和承诺一般，计2.1-3.0分；方案不完备或不完全符合项目要求计1.0-2.0分； 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1.经资格审查、符合性审查合格的竞争性磋商响应文件，其磋商报价为有效磋商报价。 2.满足竞争性磋商文件实质性要求且最后报价最低的供应商的价格为磋商基准价，其价格分为满分30分。 3.磋商报价得分=（磋商基准价/磋商评审价）×30%*100的公式计算得分。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详见附件：施工技术方案.docx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