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版本号：ZRS-2025-ZC-02020250923001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周至县殡仪馆建设项目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ZRS-2025-ZC-020</w:t>
      </w:r>
      <w:r>
        <w:br/>
      </w:r>
      <w:r>
        <w:br/>
      </w:r>
      <w:r>
        <w:br/>
      </w:r>
    </w:p>
    <w:p>
      <w:pPr>
        <w:pStyle w:val="null3"/>
        <w:jc w:val="center"/>
        <w:outlineLvl w:val="2"/>
      </w:pPr>
      <w:r>
        <w:rPr>
          <w:rFonts w:ascii="仿宋_GB2312" w:hAnsi="仿宋_GB2312" w:cs="仿宋_GB2312" w:eastAsia="仿宋_GB2312"/>
          <w:sz w:val="28"/>
          <w:b/>
        </w:rPr>
        <w:t>周至县二曲街道办事处</w:t>
      </w:r>
    </w:p>
    <w:p>
      <w:pPr>
        <w:pStyle w:val="null3"/>
        <w:jc w:val="center"/>
        <w:outlineLvl w:val="2"/>
      </w:pPr>
      <w:r>
        <w:rPr>
          <w:rFonts w:ascii="仿宋_GB2312" w:hAnsi="仿宋_GB2312" w:cs="仿宋_GB2312" w:eastAsia="仿宋_GB2312"/>
          <w:sz w:val="28"/>
          <w:b/>
        </w:rPr>
        <w:t>陕西卓尔盛工程项目管理有限公司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陕西卓尔盛工程项目管理有限公司</w:t>
      </w:r>
      <w:r>
        <w:rPr>
          <w:rFonts w:ascii="仿宋_GB2312" w:hAnsi="仿宋_GB2312" w:cs="仿宋_GB2312" w:eastAsia="仿宋_GB2312"/>
        </w:rPr>
        <w:t>（以下简称“代理机构”）受</w:t>
      </w:r>
      <w:r>
        <w:rPr>
          <w:rFonts w:ascii="仿宋_GB2312" w:hAnsi="仿宋_GB2312" w:cs="仿宋_GB2312" w:eastAsia="仿宋_GB2312"/>
        </w:rPr>
        <w:t>周至县二曲街道办事处</w:t>
      </w:r>
      <w:r>
        <w:rPr>
          <w:rFonts w:ascii="仿宋_GB2312" w:hAnsi="仿宋_GB2312" w:cs="仿宋_GB2312" w:eastAsia="仿宋_GB2312"/>
        </w:rPr>
        <w:t>委托，拟对</w:t>
      </w:r>
      <w:r>
        <w:rPr>
          <w:rFonts w:ascii="仿宋_GB2312" w:hAnsi="仿宋_GB2312" w:cs="仿宋_GB2312" w:eastAsia="仿宋_GB2312"/>
        </w:rPr>
        <w:t>周至县殡仪馆建设项目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ZRS-2025-ZC-020</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周至县殡仪馆建设项目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周至县殡仪馆建设项目前期的围墙工程、表层清理、垃圾清运、安保值班、周边及道路件监控安装工程。</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采购包1（周至县殡仪馆建设项目）：属于专门面向中小企业采购。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具有独立承担民事责任能力的法人、其他组织或自然人，营业执照、组织机构代码证、税务登记证（三证合一只提供营业执照，事业单位提供事业单位法人证书，自然人应提供身份证）合法有效；</w:t>
      </w:r>
    </w:p>
    <w:p>
      <w:pPr>
        <w:pStyle w:val="null3"/>
      </w:pPr>
      <w:r>
        <w:rPr>
          <w:rFonts w:ascii="仿宋_GB2312" w:hAnsi="仿宋_GB2312" w:cs="仿宋_GB2312" w:eastAsia="仿宋_GB2312"/>
        </w:rPr>
        <w:t>2、企业资质：须具备建设部门颁发的建筑工程施工总承包三级（含）及以上资质或建筑装修装饰工程专业承包二级（含）及以上资质，且具有有效的安全生产许可证；</w:t>
      </w:r>
    </w:p>
    <w:p>
      <w:pPr>
        <w:pStyle w:val="null3"/>
      </w:pPr>
      <w:r>
        <w:rPr>
          <w:rFonts w:ascii="仿宋_GB2312" w:hAnsi="仿宋_GB2312" w:cs="仿宋_GB2312" w:eastAsia="仿宋_GB2312"/>
        </w:rPr>
        <w:t>3、拟派项目负责人资质和专业要求：拟委派项目经理须具有有效的建筑工程专业二级（含）及以上注册建造师执业资格并具有有效的安全生产考核合格证（B证），在本单位注册且无在建项目；</w:t>
      </w:r>
    </w:p>
    <w:p>
      <w:pPr>
        <w:pStyle w:val="null3"/>
      </w:pPr>
      <w:r>
        <w:rPr>
          <w:rFonts w:ascii="仿宋_GB2312" w:hAnsi="仿宋_GB2312" w:cs="仿宋_GB2312" w:eastAsia="仿宋_GB2312"/>
        </w:rPr>
        <w:t>4、法定代表人或授权代表证明：法定代表人参加磋商时，提供本人身份证；授权代表参加磋商时，提供法定代表人授权书和被授权人身份证；非法人单位参照执行；</w:t>
      </w:r>
    </w:p>
    <w:p>
      <w:pPr>
        <w:pStyle w:val="null3"/>
      </w:pPr>
      <w:r>
        <w:rPr>
          <w:rFonts w:ascii="仿宋_GB2312" w:hAnsi="仿宋_GB2312" w:cs="仿宋_GB2312" w:eastAsia="仿宋_GB2312"/>
        </w:rPr>
        <w:t>5、无重大违法记录的书面声明：参加政府采购活动前三年内，在经营活动中没有重大违法记录的书面声明；</w:t>
      </w:r>
    </w:p>
    <w:p>
      <w:pPr>
        <w:pStyle w:val="null3"/>
      </w:pPr>
      <w:r>
        <w:rPr>
          <w:rFonts w:ascii="仿宋_GB2312" w:hAnsi="仿宋_GB2312" w:cs="仿宋_GB2312" w:eastAsia="仿宋_GB2312"/>
        </w:rPr>
        <w:t>6、税收缴纳证明：提供2025年1月1日以来已缴纳任意一个月完税凭证或税务机关开具的完税证明（任意税种）；依法免税的应提供相关文件证明；</w:t>
      </w:r>
    </w:p>
    <w:p>
      <w:pPr>
        <w:pStyle w:val="null3"/>
      </w:pPr>
      <w:r>
        <w:rPr>
          <w:rFonts w:ascii="仿宋_GB2312" w:hAnsi="仿宋_GB2312" w:cs="仿宋_GB2312" w:eastAsia="仿宋_GB2312"/>
        </w:rPr>
        <w:t>7、社会保障资金缴纳证明：提供2025年1月1日以来已缴存的任意一个月的社会保障资金缴存证明或社保机构开具的社会保险参保缴费情况证明；依法不需要缴纳社会保障资金的应提供相关文件证明；</w:t>
      </w:r>
    </w:p>
    <w:p>
      <w:pPr>
        <w:pStyle w:val="null3"/>
      </w:pPr>
      <w:r>
        <w:rPr>
          <w:rFonts w:ascii="仿宋_GB2312" w:hAnsi="仿宋_GB2312" w:cs="仿宋_GB2312" w:eastAsia="仿宋_GB2312"/>
        </w:rPr>
        <w:t>8、财务状况：供应商应提供健全的财务会计制度的证明材料。 关于财务会计制度的证明材料｛注：①可提供2023年度或2024年度经审计的财务报告（包含审计报告和审计报告中所涉及的财务报表和报表附注），②可提供2023年度或2024年度供应商完整的全套财务报表（应当包括资产负债表、利润表、现金流量表、所有者权益变动表、附注），③可提供截至响应文件提交截止日一年内银行出具的资信证明，④供应商注册时间截至响应文件提交截止日不足一年的，也可提供在工商管理部门备案的公司章程。（供应商根据自身情况，提供以上四种形式资料中的任意一种）</w:t>
      </w:r>
    </w:p>
    <w:p>
      <w:pPr>
        <w:pStyle w:val="null3"/>
      </w:pPr>
      <w:r>
        <w:rPr>
          <w:rFonts w:ascii="仿宋_GB2312" w:hAnsi="仿宋_GB2312" w:cs="仿宋_GB2312" w:eastAsia="仿宋_GB2312"/>
        </w:rPr>
        <w:t>9、信用查询：供应商不得为“信用中国”网站（www.creditchina.gov.cn）中被列入失信被执行人、重大税收违法案件当事人名单以及未被列入中国政府采购网（www.ccgp.gov.cn）政府采购严重违法失信行为记录名单。（磋商时，代理机构将现场查询）；</w:t>
      </w:r>
    </w:p>
    <w:p>
      <w:pPr>
        <w:pStyle w:val="null3"/>
      </w:pPr>
      <w:r>
        <w:rPr>
          <w:rFonts w:ascii="仿宋_GB2312" w:hAnsi="仿宋_GB2312" w:cs="仿宋_GB2312" w:eastAsia="仿宋_GB2312"/>
        </w:rPr>
        <w:t>10、本项目不接受联合体磋商：本项目不接受联合体磋商。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周至县二曲街道办事处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周至县影西路7号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710499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周至县二曲街道办事处经办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02987111130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陕西卓尔盛工程项目管理有限公司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陕西省西安市经济技术开发区凤城七路明丰国际10楼1006室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夏静</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17792396362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周至县政府采购管理股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02987113948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采购包1：2,488,996.15元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lt;招标代理服务收费管理暂行办法&gt;的通知》（计价格〔2002〕1980号）及《国家发改委关于降低部分建设项目收费标准规范收费行为等有关问题的通知》（发改价格〔2011〕534号）的规定，按照收费标准收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周至县二曲街道办事处</w:t>
      </w:r>
      <w:r>
        <w:rPr>
          <w:rFonts w:ascii="仿宋_GB2312" w:hAnsi="仿宋_GB2312" w:cs="仿宋_GB2312" w:eastAsia="仿宋_GB2312"/>
        </w:rPr>
        <w:t>和</w:t>
      </w:r>
      <w:r>
        <w:rPr>
          <w:rFonts w:ascii="仿宋_GB2312" w:hAnsi="仿宋_GB2312" w:cs="仿宋_GB2312" w:eastAsia="仿宋_GB2312"/>
        </w:rPr>
        <w:t>陕西卓尔盛工程项目管理有限公司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周至县二曲街道办事处</w:t>
      </w:r>
      <w:r>
        <w:rPr>
          <w:rFonts w:ascii="仿宋_GB2312" w:hAnsi="仿宋_GB2312" w:cs="仿宋_GB2312" w:eastAsia="仿宋_GB2312"/>
        </w:rPr>
        <w:t>负责解释。除上述磋商文件内容，其他内容由</w:t>
      </w:r>
      <w:r>
        <w:rPr>
          <w:rFonts w:ascii="仿宋_GB2312" w:hAnsi="仿宋_GB2312" w:cs="仿宋_GB2312" w:eastAsia="仿宋_GB2312"/>
        </w:rPr>
        <w:t>陕西卓尔盛工程项目管理有限公司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周至县二曲街道办事处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陕西卓尔盛工程项目管理有限公司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执行国家建筑工程施工及验收规范标准以及材料、设备所涉及的现行国家、省、市或行业的工程建设标准、规范的要求。工程具备隐蔽条件或达到专用条款约定的中间验收部位，承包人进行自检，并在隐蔽或中间验收前48小时以书面形式通知工程师验收。通知包括隐蔽和中间验收的内容、验收时间和地点。承包人准备验收记录，验收合格，工程师在验收记录上签字后，承包人可进行隐蔽和继续施工。验收不合格，承包人在工程师限定的时间内修改后重新验收。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 三、验收结果合格的，采购人应向成交供应商出具履约验收报告，成交供应商凭验收报告办理相关手续。 四、验收结果不合格的，给采购人造成的损失的，没有提交履约保证金的，应当对采购人的损失承担赔偿责任。</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陕西卓尔盛工程项目管理有限公司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陕西卓尔盛工程项目管理有限公司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陕西卓尔盛工程项目管理有限公司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联系人：夏静</w:t>
      </w:r>
    </w:p>
    <w:p>
      <w:pPr>
        <w:pStyle w:val="null3"/>
      </w:pPr>
      <w:r>
        <w:rPr>
          <w:rFonts w:ascii="仿宋_GB2312" w:hAnsi="仿宋_GB2312" w:cs="仿宋_GB2312" w:eastAsia="仿宋_GB2312"/>
        </w:rPr>
        <w:t>联系电话：17792396362</w:t>
      </w:r>
    </w:p>
    <w:p>
      <w:pPr>
        <w:pStyle w:val="null3"/>
      </w:pPr>
      <w:r>
        <w:rPr>
          <w:rFonts w:ascii="仿宋_GB2312" w:hAnsi="仿宋_GB2312" w:cs="仿宋_GB2312" w:eastAsia="仿宋_GB2312"/>
        </w:rPr>
        <w:t>地址：陕西省西安市经济技术开发区凤城七路明丰国际10楼1006室</w:t>
      </w:r>
    </w:p>
    <w:p>
      <w:pPr>
        <w:pStyle w:val="null3"/>
      </w:pPr>
      <w:r>
        <w:rPr>
          <w:rFonts w:ascii="仿宋_GB2312" w:hAnsi="仿宋_GB2312" w:cs="仿宋_GB2312" w:eastAsia="仿宋_GB2312"/>
        </w:rPr>
        <w:t>邮编：710018</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2,488,996.15</w:t>
      </w:r>
    </w:p>
    <w:p>
      <w:pPr>
        <w:pStyle w:val="null3"/>
      </w:pPr>
      <w:r>
        <w:rPr>
          <w:rFonts w:ascii="仿宋_GB2312" w:hAnsi="仿宋_GB2312" w:cs="仿宋_GB2312" w:eastAsia="仿宋_GB2312"/>
        </w:rPr>
        <w:t>采购包最高限价（元）: 2,488,996.15</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周至县殡仪馆建设项目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2,488,996.15</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标的名称：周至县殡仪馆建设项目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18"/>
                <w:color w:val="000000"/>
              </w:rPr>
              <w:t>一、采购内容</w:t>
            </w:r>
          </w:p>
          <w:p>
            <w:pPr>
              <w:pStyle w:val="null3"/>
              <w:jc w:val="both"/>
            </w:pPr>
            <w:r>
              <w:rPr>
                <w:rFonts w:ascii="仿宋_GB2312" w:hAnsi="仿宋_GB2312" w:cs="仿宋_GB2312" w:eastAsia="仿宋_GB2312"/>
                <w:sz w:val="18"/>
                <w:color w:val="000000"/>
              </w:rPr>
              <w:t>1.项目名称：</w:t>
            </w:r>
            <w:r>
              <w:rPr>
                <w:rFonts w:ascii="仿宋_GB2312" w:hAnsi="仿宋_GB2312" w:cs="仿宋_GB2312" w:eastAsia="仿宋_GB2312"/>
                <w:sz w:val="18"/>
                <w:color w:val="000000"/>
              </w:rPr>
              <w:t>周至县殡仪馆建设项目</w:t>
            </w:r>
          </w:p>
          <w:p>
            <w:pPr>
              <w:pStyle w:val="null3"/>
              <w:jc w:val="both"/>
            </w:pPr>
            <w:r>
              <w:rPr>
                <w:rFonts w:ascii="仿宋_GB2312" w:hAnsi="仿宋_GB2312" w:cs="仿宋_GB2312" w:eastAsia="仿宋_GB2312"/>
                <w:sz w:val="18"/>
                <w:color w:val="000000"/>
              </w:rPr>
              <w:t>2.工期：签订合同后</w:t>
            </w:r>
            <w:r>
              <w:rPr>
                <w:rFonts w:ascii="仿宋_GB2312" w:hAnsi="仿宋_GB2312" w:cs="仿宋_GB2312" w:eastAsia="仿宋_GB2312"/>
                <w:sz w:val="18"/>
                <w:color w:val="000000"/>
              </w:rPr>
              <w:t>60</w:t>
            </w:r>
            <w:r>
              <w:rPr>
                <w:rFonts w:ascii="仿宋_GB2312" w:hAnsi="仿宋_GB2312" w:cs="仿宋_GB2312" w:eastAsia="仿宋_GB2312"/>
                <w:sz w:val="18"/>
                <w:color w:val="000000"/>
              </w:rPr>
              <w:t>天内完工</w:t>
            </w:r>
          </w:p>
          <w:p>
            <w:pPr>
              <w:pStyle w:val="null3"/>
              <w:jc w:val="both"/>
            </w:pPr>
            <w:r>
              <w:rPr>
                <w:rFonts w:ascii="仿宋_GB2312" w:hAnsi="仿宋_GB2312" w:cs="仿宋_GB2312" w:eastAsia="仿宋_GB2312"/>
                <w:sz w:val="18"/>
                <w:color w:val="000000"/>
              </w:rPr>
              <w:t>3.施工地点：采购人指定地点</w:t>
            </w:r>
          </w:p>
          <w:p>
            <w:pPr>
              <w:pStyle w:val="null3"/>
              <w:jc w:val="both"/>
            </w:pPr>
            <w:r>
              <w:rPr>
                <w:rFonts w:ascii="仿宋_GB2312" w:hAnsi="仿宋_GB2312" w:cs="仿宋_GB2312" w:eastAsia="仿宋_GB2312"/>
                <w:sz w:val="18"/>
                <w:color w:val="000000"/>
              </w:rPr>
              <w:t>4.质量要求：达到现行施工验收规范合格标准。</w:t>
            </w:r>
          </w:p>
          <w:p>
            <w:pPr>
              <w:pStyle w:val="null3"/>
              <w:jc w:val="both"/>
            </w:pPr>
            <w:r>
              <w:rPr>
                <w:rFonts w:ascii="仿宋_GB2312" w:hAnsi="仿宋_GB2312" w:cs="仿宋_GB2312" w:eastAsia="仿宋_GB2312"/>
                <w:sz w:val="18"/>
                <w:color w:val="000000"/>
              </w:rPr>
              <w:t>5、付款方式：1） 付款条件说明：合同签订后，达到付款条件起10 日内，支付合同总金额的 40.00%。</w:t>
            </w:r>
          </w:p>
          <w:p>
            <w:pPr>
              <w:pStyle w:val="null3"/>
              <w:jc w:val="both"/>
            </w:pPr>
            <w:r>
              <w:rPr>
                <w:rFonts w:ascii="仿宋_GB2312" w:hAnsi="仿宋_GB2312" w:cs="仿宋_GB2312" w:eastAsia="仿宋_GB2312"/>
                <w:sz w:val="18"/>
                <w:color w:val="000000"/>
              </w:rPr>
              <w:t>2） 付款条件说明：项目完工,甲方收到并确认乙方自检报告后 ，达到付款条件起 10 日内，支付合同总金额的 40.00%。</w:t>
            </w:r>
          </w:p>
          <w:p>
            <w:pPr>
              <w:pStyle w:val="null3"/>
              <w:jc w:val="both"/>
            </w:pPr>
            <w:r>
              <w:rPr>
                <w:rFonts w:ascii="仿宋_GB2312" w:hAnsi="仿宋_GB2312" w:cs="仿宋_GB2312" w:eastAsia="仿宋_GB2312"/>
                <w:sz w:val="18"/>
                <w:color w:val="000000"/>
              </w:rPr>
              <w:t>3） 付款条件说明：工程竣工、竣工资料交付采购人，项目验收合格后，达到付款条件起10 日内，支付合同总金额的 15.00%。4） 付款条件说明：项目结算审核完成后，达到付款条件起10 日内，支付合同总金额的 5.00%。</w:t>
            </w:r>
            <w:r>
              <w:rPr>
                <w:rFonts w:ascii="仿宋_GB2312" w:hAnsi="仿宋_GB2312" w:cs="仿宋_GB2312" w:eastAsia="仿宋_GB2312"/>
                <w:sz w:val="18"/>
              </w:rPr>
              <w:t xml:space="preserve"> </w:t>
            </w:r>
          </w:p>
          <w:p>
            <w:pPr>
              <w:pStyle w:val="null3"/>
              <w:jc w:val="both"/>
            </w:pPr>
            <w:r>
              <w:rPr>
                <w:rFonts w:ascii="仿宋_GB2312" w:hAnsi="仿宋_GB2312" w:cs="仿宋_GB2312" w:eastAsia="仿宋_GB2312"/>
                <w:sz w:val="18"/>
                <w:color w:val="000000"/>
              </w:rPr>
              <w:t>6、保修6.1保修责任工程保修期从工程竣工验收合格之日起算，具体分部分项工程的保修期由合同当事人在专用合同条款中约定，但不得低于法定最低保修年限。在工程保修期内，承包人应当根据有关法律规定以及合同约定承担保修责任。发包人未经竣工验收擅自使用工程的，保修期自转移占有之日起算。6.2 修复费用保修期内，修复的费用按照以下约定处理：（1）保修期内，因承包人原因造成工程的缺陷、损坏，承包人应负责修复，并承担修复的费用以及因工程的缺陷、损坏造成的人身伤害和财产损失；（2）保修期内，因发包人使用不当造成工程的缺陷、损坏，可以委托承包人修复，但发包人应承担修复的费用，并支付承包人合理利润；（3）因其他原因造成工程的缺陷、损坏，可以委托承包人修复，发包人应承担修复的费用，并支付承包人合理的利润，因工程的缺陷、损坏造成的人身伤害和财产损失由责任方承担。6.3 修复通知在保修期内，发包人在使用过程中，发现已接收的工程存在缺陷或损坏的，应书面通知承包人予以修复，但情况紧急必须立即修复缺陷或损坏的，发包人可以口头通知承包人并在口头通知后48小时内书面确认，承包人应在专用合同条款约定的合理期限内到达工程现场并修复缺陷或损坏。6.4 未能修复因承包人原因造成工程的缺陷或损坏，承包人拒绝维修或未能在合理期限内修复缺陷或损坏，且经发包人书面催告后仍未修复的，发包人有权自行修复或委托第三方修复，所需费用由承包人承担。但修复范围超出缺陷或损坏范围的，超出范围部分的修复费用由发包人承担。6.5 承包人出入权在保修期内，为了修复缺陷或损坏，承包人有权出入工程现场，除情况紧急必须立即修复缺陷或损坏外，承包人应提前24小时通知发包人进场修复的时间。承包人进入工程现场前应获得发包人同意，且不应影响发包人正常的生产经营，并应遵守发包人有关保安和保密等规定。6.6、根据《建设工程质量管理条例》及有关规定，工程的质量保修期如下：（1）地基基础工程和主体结构工程为设计文件规定的工程合理使用年限；（2）屋面防水工程、有防水要求的卫生间、房间和外墙面的防渗为5年；（3）装修工程为2年；（4）电气管线、给排水管道、设备安装工程为2年；（5）市政基础设施道路等配套工程为2年；（6）其他项目保修期限约定如下：按照第279号令《建设工程质量管理条例》相关规定执行。</w:t>
            </w:r>
          </w:p>
          <w:p>
            <w:pPr>
              <w:pStyle w:val="null3"/>
              <w:jc w:val="both"/>
            </w:pPr>
            <w:r>
              <w:rPr>
                <w:rFonts w:ascii="仿宋_GB2312" w:hAnsi="仿宋_GB2312" w:cs="仿宋_GB2312" w:eastAsia="仿宋_GB2312"/>
                <w:sz w:val="18"/>
              </w:rPr>
              <w:t xml:space="preserve"> </w:t>
            </w:r>
            <w:r>
              <w:rPr>
                <w:rFonts w:ascii="仿宋_GB2312" w:hAnsi="仿宋_GB2312" w:cs="仿宋_GB2312" w:eastAsia="仿宋_GB2312"/>
                <w:sz w:val="18"/>
                <w:color w:val="000000"/>
              </w:rPr>
              <w:t>7、缺陷责任期工程缺陷责任期为24个月，缺陷责任期自工程实际竣工之日起计算。单位工程先于全部工程进行验收，单位工程缺陷责任期自单位工程验收合格之日起算。</w:t>
            </w:r>
          </w:p>
          <w:p>
            <w:pPr>
              <w:pStyle w:val="null3"/>
              <w:jc w:val="both"/>
            </w:pPr>
            <w:r>
              <w:rPr>
                <w:rFonts w:ascii="仿宋_GB2312" w:hAnsi="仿宋_GB2312" w:cs="仿宋_GB2312" w:eastAsia="仿宋_GB2312"/>
                <w:sz w:val="18"/>
                <w:color w:val="000000"/>
              </w:rPr>
              <w:t>二、工程量清单：详见附件。</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符合磋商文件和国家规定验收标准，质量要求：达到现行施工验收规范合格标准 交付竣工验收的工程，必须符合规定的 工程质量标准，有完整的工程技术经济资料和经签署的工程保修书，并具备国家规定的其他竣工条件。 工程竣工经验收合格 后，方可交付使用；未经验收或者验收不合格的，不得交付使用。</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1、材料的质量直接影响装修装饰工程的质量和效果，因此，在材料选用上需慎重。应选择符合设计要求、质量可靠、性能优良的材料，严禁使用不合格或伪劣材料。在材料选用时，还应考虑环保、节能等因素。 2、施工工艺的选择直接关系到装修装饰工程的最终效果和质量。应根据设计要求和工程特点，选择合适的施工工艺，并保证施工工艺的可行性和可靠性。同时，应积极采用新技术、新工艺，提高施工效率和质量。 3、产品属于优先采购节能、环境标志产品范围的，应当优先采购节 能、环境标志产品；产品符合政府采购强制采购政策的，实行强制采购。</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①可提供2023年度或2024年度经审计的财务报告（包含审计报告和审计报告中所涉及的财务报表和报表附注），②可提供2023年度或2024年度供应商完整的全套财务报表（应当包括资产负债表、利润表、现金流量表、所有者权益变动表、附注），③可提供截至响应文件提交截止日一年内银行出具的资信证明，④供应商注册时间截至响应文件提交截止日不足一年的，也可提供在工商管理部门备案的公司章程。（供应商根据自身情况，提供以上四种形式资料中的任意一种）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1）《政府采购促进中小企业发展管理办法》（ 财库〔2020〕46号）； 2）《财政部司法部关于政府采购支持监狱企业发展有关问题的通知 》（财库〔2014〕68号）； 3）《国务院办公厅关于建立政府强制采购节能产品制度的通知 》（国办发〔2007〕51号）； 4）《财政部环保总局关于环境标志产品政府采购实施的意 见》（财库〔2006〕90号）； 5）《财政部国家发展改革委关于印发〈节能产品政府采购实 施意见〉的通知》（财库〔2004〕185号）； 6）《财政部民政部中国残疾人联合会关于促进残疾人就业政府采购政策的通知》（财库〔201 7〕141号）； 7）《财政部发展改革委生态环 境部市场监管总局关于调整优化节能产品、环境标志产品政府采购执行机制的通知》（财库 〔2019〕9号）； 8）《关于印发环境标志产品政府采购品目清单的通知》（财库〔2019〕 18号）； 9）《关于印发节能产品政府采购品目清单的通知》（财库〔2019〕19号）； 10）《财政部农业农村部国家乡村振兴局关于运 用政府采购政策支持乡村产业振兴的通知》财 库〔2021〕19号； 11）《陕西省财政厅关于印发陕西省中小企业政府采购信用融资办法》 （陕财办采〔2018〕23号）； 12）《陕西省财政厅关于加快推进我省中小企业政府采购信用融资工作的通知》（陕财办采〔2020〕15号 ）； 13)其他需要落实的政府采购政策。（如有最新颁布的政府采购政策，按最新的文件执行）</w:t>
            </w:r>
          </w:p>
        </w:tc>
        <w:tc>
          <w:tcPr>
            <w:tcW w:type="dxa" w:w="1661"/>
          </w:tcPr>
          <w:p>
            <w:pPr>
              <w:pStyle w:val="null3"/>
            </w:pPr>
            <w:r>
              <w:rPr>
                <w:rFonts w:ascii="仿宋_GB2312" w:hAnsi="仿宋_GB2312" w:cs="仿宋_GB2312" w:eastAsia="仿宋_GB2312"/>
              </w:rPr>
              <w:t>中小企业声明函 响应函</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具有独立承担民事责任能力的法人、其他组织或自然人，营业执照、组织机构代码证、税务登记证（三证合一只提供营业执照，事业单位提供事业单位法人证书，自然人应提供身份证）合法有效；</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须具备建设部门颁发的建筑工程施工总承包三级（含）及以上资质或建筑装修装饰工程专业承包二级（含）及以上资质，且具有有效的安全生产许可证；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拟派项目负责人资质和专业要求</w:t>
            </w:r>
          </w:p>
        </w:tc>
        <w:tc>
          <w:tcPr>
            <w:tcW w:type="dxa" w:w="3322"/>
          </w:tcPr>
          <w:p>
            <w:pPr>
              <w:pStyle w:val="null3"/>
            </w:pPr>
            <w:r>
              <w:rPr>
                <w:rFonts w:ascii="仿宋_GB2312" w:hAnsi="仿宋_GB2312" w:cs="仿宋_GB2312" w:eastAsia="仿宋_GB2312"/>
              </w:rPr>
              <w:t>拟委派项目经理须具有有效的建筑工程专业二级（含）及以上注册建造师执业资格并具有有效的安全生产考核合格证（B证），在本单位注册且无在建项目；</w:t>
            </w:r>
          </w:p>
        </w:tc>
        <w:tc>
          <w:tcPr>
            <w:tcW w:type="dxa" w:w="1661"/>
          </w:tcPr>
          <w:p>
            <w:pPr>
              <w:pStyle w:val="null3"/>
            </w:pPr>
            <w:r>
              <w:rPr>
                <w:rFonts w:ascii="仿宋_GB2312" w:hAnsi="仿宋_GB2312" w:cs="仿宋_GB2312" w:eastAsia="仿宋_GB2312"/>
              </w:rPr>
              <w:t>供应商应提交的相关资格证明材料.docx 项目管理机构人员表.docx 主要人员简历表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法定代表人或授权代表证明</w:t>
            </w:r>
          </w:p>
        </w:tc>
        <w:tc>
          <w:tcPr>
            <w:tcW w:type="dxa" w:w="3322"/>
          </w:tcPr>
          <w:p>
            <w:pPr>
              <w:pStyle w:val="null3"/>
            </w:pPr>
            <w:r>
              <w:rPr>
                <w:rFonts w:ascii="仿宋_GB2312" w:hAnsi="仿宋_GB2312" w:cs="仿宋_GB2312" w:eastAsia="仿宋_GB2312"/>
              </w:rPr>
              <w:t>法定代表人参加磋商时，提供本人身份证；授权代表参加磋商时，提供法定代表人授权书和被授权人身份证；非法人单位参照执行；</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无重大违法记录的书面声明</w:t>
            </w:r>
          </w:p>
        </w:tc>
        <w:tc>
          <w:tcPr>
            <w:tcW w:type="dxa" w:w="3322"/>
          </w:tcPr>
          <w:p>
            <w:pPr>
              <w:pStyle w:val="null3"/>
            </w:pPr>
            <w:r>
              <w:rPr>
                <w:rFonts w:ascii="仿宋_GB2312" w:hAnsi="仿宋_GB2312" w:cs="仿宋_GB2312" w:eastAsia="仿宋_GB2312"/>
              </w:rPr>
              <w:t>参加政府采购活动前三年内，在经营活动中没有重大违法记录的书面声明；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提供2025年1月1日以来已缴纳任意一个月完税凭证或税务机关开具的完税证明（任意税种）；依法免税的应提供相关文件证明；</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提供2025年1月1日以来已缴存的任意一个月的社会保障资金缴存证明或社保机构开具的社会保险参保缴费情况证明；依法不需要缴纳社会保障资金的应提供相关文件证明；</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供应商应提供健全的财务会计制度的证明材料。 关于财务会计制度的证明材料｛注：①可提供2023年度或2024年度经审计的财务报告（包含审计报告和审计报告中所涉及的财务报表和报表附注），②可提供2023年度或2024年度供应商完整的全套财务报表（应当包括资产负债表、利润表、现金流量表、所有者权益变动表、附注），③可提供截至响应文件提交截止日一年内银行出具的资信证明，④供应商注册时间截至响应文件提交截止日不足一年的，也可提供在工商管理部门备案的公司章程。（供应商根据自身情况，提供以上四种形式资料中的任意一种）</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网站（www.creditchina.gov.cn）中被列入失信被执行人、重大税收违法案件当事人名单以及未被列入中国政府采购网（www.ccgp.gov.cn）政府采购严重违法失信行为记录名单。（磋商时，代理机构将现场查询）；</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本项目不接受联合体磋商</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磋商无效条件：供应商报价超出采购预算或最高限价的</w:t>
            </w:r>
          </w:p>
        </w:tc>
        <w:tc>
          <w:tcPr>
            <w:tcW w:type="dxa" w:w="1661"/>
          </w:tcPr>
          <w:p>
            <w:pPr>
              <w:pStyle w:val="null3"/>
            </w:pPr>
            <w:r>
              <w:rPr>
                <w:rFonts w:ascii="仿宋_GB2312" w:hAnsi="仿宋_GB2312" w:cs="仿宋_GB2312" w:eastAsia="仿宋_GB2312"/>
              </w:rPr>
              <w:t>响应文件封面 已标价工程量清单.docx 报价函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磋商无效条件：投标文件未按招标文件要求签署、盖章的</w:t>
            </w:r>
          </w:p>
        </w:tc>
        <w:tc>
          <w:tcPr>
            <w:tcW w:type="dxa" w:w="1661"/>
          </w:tcPr>
          <w:p>
            <w:pPr>
              <w:pStyle w:val="null3"/>
            </w:pPr>
            <w:r>
              <w:rPr>
                <w:rFonts w:ascii="仿宋_GB2312" w:hAnsi="仿宋_GB2312" w:cs="仿宋_GB2312" w:eastAsia="仿宋_GB2312"/>
              </w:rPr>
              <w:t>中小企业声明函 技术服务合同条款及其他商务要求应答表 强制优先采购产品承诺函 响应文件封面 供应商应提交的相关资格证明材料.docx 项目管理机构人员表.docx 残疾人福利性单位声明函 报价函 标的清单 供应商类似项目业绩一览表 响应函 主要人员简历表 监狱企业的证明文件 磋商方案.docx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磋商无效条件：投标有效期不满足磋商文件要求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其他情形</w:t>
            </w:r>
          </w:p>
        </w:tc>
        <w:tc>
          <w:tcPr>
            <w:tcW w:type="dxa" w:w="3322"/>
          </w:tcPr>
          <w:p>
            <w:pPr>
              <w:pStyle w:val="null3"/>
            </w:pPr>
            <w:r>
              <w:rPr>
                <w:rFonts w:ascii="仿宋_GB2312" w:hAnsi="仿宋_GB2312" w:cs="仿宋_GB2312" w:eastAsia="仿宋_GB2312"/>
              </w:rPr>
              <w:t>磋商无效条件：存在其它不符合法律法规或磋商文件规定的投标无效情形</w:t>
            </w:r>
          </w:p>
        </w:tc>
        <w:tc>
          <w:tcPr>
            <w:tcW w:type="dxa" w:w="1661"/>
          </w:tcPr>
          <w:p>
            <w:pPr>
              <w:pStyle w:val="null3"/>
            </w:pPr>
            <w:r>
              <w:rPr>
                <w:rFonts w:ascii="仿宋_GB2312" w:hAnsi="仿宋_GB2312" w:cs="仿宋_GB2312" w:eastAsia="仿宋_GB2312"/>
              </w:rPr>
              <w:t>响应文件封面</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施工组织方案（施工部署）</w:t>
            </w:r>
          </w:p>
        </w:tc>
        <w:tc>
          <w:tcPr>
            <w:tcW w:type="dxa" w:w="2492"/>
          </w:tcPr>
          <w:p>
            <w:pPr>
              <w:pStyle w:val="null3"/>
            </w:pPr>
            <w:r>
              <w:rPr>
                <w:rFonts w:ascii="仿宋_GB2312" w:hAnsi="仿宋_GB2312" w:cs="仿宋_GB2312" w:eastAsia="仿宋_GB2312"/>
              </w:rPr>
              <w:t>施工部署： 提供针对本项目施工部署计划方案。 1、评审内容： ①施工目标：成本目标、工期目标、质量目标； ②资源配备计划：主要施工机械设备、劳动力等配备计划及主材进场计划。 2、评审标准： ①完整性：响应全面，对评审内容中的各项要求有详细描述 ②可实施性：内容科学，步骤清晰、合理，可实施性强； ③针对性：能够紧扣项目实际情况，满足具体要求。 3、赋分标准： ①施工目标：每完全满足一个评审标准得1分，满分3分； ②资源配备计划：每完全满足一个评审标准得1分，满分3分。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p>
            <w:pPr>
              <w:pStyle w:val="null3"/>
            </w:pPr>
            <w:r>
              <w:rPr>
                <w:rFonts w:ascii="仿宋_GB2312" w:hAnsi="仿宋_GB2312" w:cs="仿宋_GB2312" w:eastAsia="仿宋_GB2312"/>
              </w:rPr>
              <w:t>其他.docx</w:t>
            </w:r>
          </w:p>
        </w:tc>
      </w:tr>
      <w:tr>
        <w:tc>
          <w:tcPr>
            <w:tcW w:type="dxa" w:w="831"/>
            <w:vMerge/>
          </w:tcPr>
          <w:p/>
        </w:tc>
        <w:tc>
          <w:tcPr>
            <w:tcW w:type="dxa" w:w="1661"/>
          </w:tcPr>
          <w:p>
            <w:pPr>
              <w:pStyle w:val="null3"/>
            </w:pPr>
            <w:r>
              <w:rPr>
                <w:rFonts w:ascii="仿宋_GB2312" w:hAnsi="仿宋_GB2312" w:cs="仿宋_GB2312" w:eastAsia="仿宋_GB2312"/>
              </w:rPr>
              <w:t>施工组织方案（施工措施）</w:t>
            </w:r>
          </w:p>
        </w:tc>
        <w:tc>
          <w:tcPr>
            <w:tcW w:type="dxa" w:w="2492"/>
          </w:tcPr>
          <w:p>
            <w:pPr>
              <w:pStyle w:val="null3"/>
            </w:pPr>
            <w:r>
              <w:rPr>
                <w:rFonts w:ascii="仿宋_GB2312" w:hAnsi="仿宋_GB2312" w:cs="仿宋_GB2312" w:eastAsia="仿宋_GB2312"/>
              </w:rPr>
              <w:t>施工措施： 提供针对本项目的相关技术措施保障。 1、评审内容： ①工程重难点及解决方案； ②施工方法及工艺； ③相关技术措施：施工质量通病防治措施、成品保护措施等； ④应急措施：自然灾害和安全事故等紧急情况的应急措施； 2、评审标准：①完整性：响应全面，对评审内容中的各项要求有详细描述 ②可实施性：内容科学，步骤清晰、合理，可实施性强； ③针对性：能够紧扣项目实际情况，满足具体要求。 3、赋分标准： ①工程重难点及解决措施：每完全满足一个评审标准得1分，满分3分； ②施工方法及工艺：每完全满足一个评审标准得1分，满分3分； ③相关技术措施：每完全满足一个评审标准得1分，满分3分； ④应急措施：每完全满足一个评审标准得1分，满分3分。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施工组织方案（施工进度）</w:t>
            </w:r>
          </w:p>
        </w:tc>
        <w:tc>
          <w:tcPr>
            <w:tcW w:type="dxa" w:w="2492"/>
          </w:tcPr>
          <w:p>
            <w:pPr>
              <w:pStyle w:val="null3"/>
            </w:pPr>
            <w:r>
              <w:rPr>
                <w:rFonts w:ascii="仿宋_GB2312" w:hAnsi="仿宋_GB2312" w:cs="仿宋_GB2312" w:eastAsia="仿宋_GB2312"/>
              </w:rPr>
              <w:t>施工进度： 1、评审内容： ①施工进度安排：施工进度目标和施工总进度计划表； ②进度保障措施：工期保证措施、特殊情况（夜间、雨季、高低温等其它情况）保证等。 2、评审标准： ①完整性：响应全面，对评审内容中的各项要求有详细描述 ②可实施性：内容科学，步骤清晰、合理，可实施性强； ③针对性：能够紧扣项目实际情况，满足具体要求。 3、赋分标准： ①施工总进度：每完全满足一个评审标准得2分，满分6分； ②进度保障措施；每完全满足一个评审标准得1分，满分3分。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施工组织方案（环境保护措施）</w:t>
            </w:r>
          </w:p>
        </w:tc>
        <w:tc>
          <w:tcPr>
            <w:tcW w:type="dxa" w:w="2492"/>
          </w:tcPr>
          <w:p>
            <w:pPr>
              <w:pStyle w:val="null3"/>
            </w:pPr>
            <w:r>
              <w:rPr>
                <w:rFonts w:ascii="仿宋_GB2312" w:hAnsi="仿宋_GB2312" w:cs="仿宋_GB2312" w:eastAsia="仿宋_GB2312"/>
              </w:rPr>
              <w:t>环境保护措施： 1、评审内容： ①环境保护管理体系； ②环保控制措施：污染物及废弃物处理的排放、噪音控制、防尘及扬尘的控制措施。 2、评审标准： ①完整性：响应全面，对评审内容中的各项要求有详细描述 ②可实施性：内容科学，步骤清晰、合理，可实施性强； ③针对性：能够紧扣项目实际情况，满足具体要求。 3、赋分标准： ①环境保护管理体系：每完全满足一个评审标准得1分，满分3分； ②环保控制措施：每完全满足一个评审标准得1分，满分3分。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施工组织方案（质量管理）</w:t>
            </w:r>
          </w:p>
        </w:tc>
        <w:tc>
          <w:tcPr>
            <w:tcW w:type="dxa" w:w="2492"/>
          </w:tcPr>
          <w:p>
            <w:pPr>
              <w:pStyle w:val="null3"/>
            </w:pPr>
            <w:r>
              <w:rPr>
                <w:rFonts w:ascii="仿宋_GB2312" w:hAnsi="仿宋_GB2312" w:cs="仿宋_GB2312" w:eastAsia="仿宋_GB2312"/>
              </w:rPr>
              <w:t>质量管理： 提供针对本项目完善的质量保证管理体系及相关措施。 1、评审内容： ①质量管理目标； ②施工质量保障措施； ③施工质量检验制度。 2、评审标准： ①完整性：响应全面，对评审内容中的各项要求有详细描述 ②可实施性：内容科学，步骤清晰、合理，可实施性强； ③针对性：能够紧扣项目实际情况，满足具体要求。 3、赋分标准： ①质量管理目标：每完全满足一个评审标准得1分，满分3分； ②施工质量保障措施：每完全满足一个评审标准得1分，满分3分； ③施工质量检验制度：每完全满足一个评审标准得1分，满分3分。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施工组织方案（安全管理）</w:t>
            </w:r>
          </w:p>
        </w:tc>
        <w:tc>
          <w:tcPr>
            <w:tcW w:type="dxa" w:w="2492"/>
          </w:tcPr>
          <w:p>
            <w:pPr>
              <w:pStyle w:val="null3"/>
            </w:pPr>
            <w:r>
              <w:rPr>
                <w:rFonts w:ascii="仿宋_GB2312" w:hAnsi="仿宋_GB2312" w:cs="仿宋_GB2312" w:eastAsia="仿宋_GB2312"/>
              </w:rPr>
              <w:t>安全管理： 提供针对本项目的安全管理体系与相关措施。 一、安全生产及文明施工（6分） 1、评审内容： ①安全管理体系：安全制度、安全责任划分，标识及安全装备配备、安全教育培训等； ②文明施工：施工现场管理、材料及机具堆放、检查措施等。 2、评审标准： ①完整性：响应全面，对评审内容中的各项要求有详细描述 ②可实施性：内容科学，步骤清晰、合理，可实施性强； ③针对性：能够紧扣项目实际情况，满足具体要求。 3、赋分标准： ①安全管理体系：每完全满足一个评审标准得1分，满分3分； ②文明施工：每完全满足一个评审标准得1分，满分3分； 二、执行强规（2分） 执行国家、行业、地方强制性标准规范并在方案中明确响应规范的得2分，否则酌情扣分。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施工组织方案（项目组织管理机构）</w:t>
            </w:r>
          </w:p>
        </w:tc>
        <w:tc>
          <w:tcPr>
            <w:tcW w:type="dxa" w:w="2492"/>
          </w:tcPr>
          <w:p>
            <w:pPr>
              <w:pStyle w:val="null3"/>
            </w:pPr>
            <w:r>
              <w:rPr>
                <w:rFonts w:ascii="仿宋_GB2312" w:hAnsi="仿宋_GB2312" w:cs="仿宋_GB2312" w:eastAsia="仿宋_GB2312"/>
              </w:rPr>
              <w:t>项目组织管理机构： 提供项目的组织管理机构情况，包括但不限于拟派项目部的组织架构、岗位职责、人员资质、人员分工等。 ①项目部组织结构健全，有完善的岗位制度和岗位职责，人员安排合理、分工明确，完全符合项目需要的，得4分； ②项目部组织结构不健全，岗位制度和岗位职责安排简单，基本符合项目需要的，得2分。不符合得0分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p>
            <w:pPr>
              <w:pStyle w:val="null3"/>
            </w:pPr>
            <w:r>
              <w:rPr>
                <w:rFonts w:ascii="仿宋_GB2312" w:hAnsi="仿宋_GB2312" w:cs="仿宋_GB2312" w:eastAsia="仿宋_GB2312"/>
              </w:rPr>
              <w:t>项目管理机构人员表.docx</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供应商具有2022年1月至今的类似项目业绩证明文件（以合同签订时间为准），提供合同复印件加盖公章（附在响应文件中），每个业绩得2.5分，最高得5分。未提供或未按要求提供，得0分。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主材性能</w:t>
            </w:r>
          </w:p>
        </w:tc>
        <w:tc>
          <w:tcPr>
            <w:tcW w:type="dxa" w:w="2492"/>
          </w:tcPr>
          <w:p>
            <w:pPr>
              <w:pStyle w:val="null3"/>
            </w:pPr>
            <w:r>
              <w:rPr>
                <w:rFonts w:ascii="仿宋_GB2312" w:hAnsi="仿宋_GB2312" w:cs="仿宋_GB2312" w:eastAsia="仿宋_GB2312"/>
              </w:rPr>
              <w:t>主材性能：提供针对本项目的主材清单（清单内容包括但不限于材料名称、品牌、规格、材质等）。 1、评审内容： 对主材清单内容进行评审。 2、评审及赋分标准： 清单内容完整，主材质量、工艺优良，安全可靠性高，完全满足项目需求的得3分。未提供清单或不能完全满足要求的不得分。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已标价工程量清单.docx</w:t>
            </w:r>
          </w:p>
        </w:tc>
      </w:tr>
      <w:tr>
        <w:tc>
          <w:tcPr>
            <w:tcW w:type="dxa" w:w="831"/>
            <w:vMerge/>
          </w:tcPr>
          <w:p/>
        </w:tc>
        <w:tc>
          <w:tcPr>
            <w:tcW w:type="dxa" w:w="1661"/>
          </w:tcPr>
          <w:p>
            <w:pPr>
              <w:pStyle w:val="null3"/>
            </w:pPr>
            <w:r>
              <w:rPr>
                <w:rFonts w:ascii="仿宋_GB2312" w:hAnsi="仿宋_GB2312" w:cs="仿宋_GB2312" w:eastAsia="仿宋_GB2312"/>
              </w:rPr>
              <w:t>保修承诺</w:t>
            </w:r>
          </w:p>
        </w:tc>
        <w:tc>
          <w:tcPr>
            <w:tcW w:type="dxa" w:w="2492"/>
          </w:tcPr>
          <w:p>
            <w:pPr>
              <w:pStyle w:val="null3"/>
            </w:pPr>
            <w:r>
              <w:rPr>
                <w:rFonts w:ascii="仿宋_GB2312" w:hAnsi="仿宋_GB2312" w:cs="仿宋_GB2312" w:eastAsia="仿宋_GB2312"/>
              </w:rPr>
              <w:t>保修承诺: 1、评审内容： ①保修措施及承诺：工程维修服务承诺、保修措施和响应时限； ②应急维护：紧急情况抢修，发生质量问题后的补救措施。 2、评审标准： ①完整性：响应全面，对评审内容中的各项要求有详细描述 ②可实施性及针对性：内容科学，能够紧扣项目实际情况，步骤清晰、合理，可实施性强； 3、赋分标准： ①保修措施及承诺：每完全满足一个评审标准得1.5分，满分3分； ②应急维护：每完全满足一个评审标准得1.5分，满分3分。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节能产品、环保标志产品优先采购</w:t>
            </w:r>
          </w:p>
        </w:tc>
        <w:tc>
          <w:tcPr>
            <w:tcW w:type="dxa" w:w="2492"/>
          </w:tcPr>
          <w:p>
            <w:pPr>
              <w:pStyle w:val="null3"/>
            </w:pPr>
            <w:r>
              <w:rPr>
                <w:rFonts w:ascii="仿宋_GB2312" w:hAnsi="仿宋_GB2312" w:cs="仿宋_GB2312" w:eastAsia="仿宋_GB2312"/>
              </w:rPr>
              <w:t>节能产品、环保标志产品优先采购： 采用的材料每有一项属于节能产品政府采购品目清单中优先采购范围，且获得国家确认的认证机构出具的、处于有效期之内的认证证书的，得0.5分；每有一项属于环境标志产品政府采购品目清单中优先采购范围且获得国家确认的认证机构出具的、处于有效期之内的认证证书的，得0.5分。本项最高得2分。 注：同时具备节能产品认证和环境标志产品认证的产品可分别得分。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已标价工程量清单.docx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满足磋商文件要求且投标价格最低的投标报价（最终报价）为评标基准价，其价格分为满分。其他供应商的价格分统一按照下列公式计算：投标报价得分=（评标基准价/投标报价）×30 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详见附件：磋商方案.docx</w:t>
      </w:r>
    </w:p>
    <w:p>
      <w:pPr>
        <w:pStyle w:val="null3"/>
        <w:ind w:firstLine="960"/>
      </w:pPr>
      <w:r>
        <w:rPr>
          <w:rFonts w:ascii="仿宋_GB2312" w:hAnsi="仿宋_GB2312" w:cs="仿宋_GB2312" w:eastAsia="仿宋_GB2312"/>
        </w:rPr>
        <w:t>详见附件：项目管理机构人员表.docx</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详见附件：已标价工程量清单.docx</w:t>
      </w:r>
    </w:p>
    <w:p>
      <w:pPr>
        <w:pStyle w:val="null3"/>
        <w:ind w:firstLine="960"/>
      </w:pPr>
      <w:r>
        <w:rPr>
          <w:rFonts w:ascii="仿宋_GB2312" w:hAnsi="仿宋_GB2312" w:cs="仿宋_GB2312" w:eastAsia="仿宋_GB2312"/>
        </w:rPr>
        <w:t>详见附件：其他.docx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详见附件：范本--合同.docx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