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版本号：SGLQ-202505320260112001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周至县田峪河兴隆村段堤防挡墙水毁修复工程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SGLQ-2025053</w:t>
      </w:r>
      <w:r>
        <w:br/>
      </w:r>
      <w:r>
        <w:br/>
      </w:r>
      <w:r>
        <w:br/>
      </w:r>
    </w:p>
    <w:p>
      <w:pPr>
        <w:pStyle w:val="null3"/>
        <w:jc w:val="center"/>
        <w:outlineLvl w:val="2"/>
      </w:pPr>
      <w:r>
        <w:rPr>
          <w:rFonts w:ascii="仿宋_GB2312" w:hAnsi="仿宋_GB2312" w:cs="仿宋_GB2312" w:eastAsia="仿宋_GB2312"/>
          <w:sz w:val="28"/>
          <w:b/>
        </w:rPr>
        <w:t>西安市周至县四小河流管理站</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西安市周至县四小河流管理站</w:t>
      </w:r>
      <w:r>
        <w:rPr>
          <w:rFonts w:ascii="仿宋_GB2312" w:hAnsi="仿宋_GB2312" w:cs="仿宋_GB2312" w:eastAsia="仿宋_GB2312"/>
        </w:rPr>
        <w:t>委托，拟对</w:t>
      </w:r>
      <w:r>
        <w:rPr>
          <w:rFonts w:ascii="仿宋_GB2312" w:hAnsi="仿宋_GB2312" w:cs="仿宋_GB2312" w:eastAsia="仿宋_GB2312"/>
        </w:rPr>
        <w:t>周至县田峪河兴隆村段堤防挡墙水毁修复工程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SGLQ-2025053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周至县田峪河兴隆村段堤防挡墙水毁修复工程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本工程修建护岸长度383.9m，其中：修建埋石砼挡墙及边坡加固110.8m（桩号L0+000至L0+110.8）；修建格宾石笼护岸273.1m（桩号L0+143至L0+293，R0+000至R0+123.1)。</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采购包1（周至县田峪河兴隆村段堤防挡墙水毁修复工程）：属于专门面向中小企业采购。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1、营业执照：提供有效的营业执照/事业单位法人证书/非企业专业服务机构执业许可证/民办非企业单位登记证书复印件加盖公章/自然人身份证</w:t>
      </w:r>
    </w:p>
    <w:p>
      <w:pPr>
        <w:pStyle w:val="null3"/>
      </w:pPr>
      <w:r>
        <w:rPr>
          <w:rFonts w:ascii="仿宋_GB2312" w:hAnsi="仿宋_GB2312" w:cs="仿宋_GB2312" w:eastAsia="仿宋_GB2312"/>
        </w:rPr>
        <w:t>2、财务状况报告：提供2024年度经审计的财务审计报告或开标前三个月其基本存款账户开户银行出具的资信证明及基本存款账户开户信息</w:t>
      </w:r>
    </w:p>
    <w:p>
      <w:pPr>
        <w:pStyle w:val="null3"/>
      </w:pPr>
      <w:r>
        <w:rPr>
          <w:rFonts w:ascii="仿宋_GB2312" w:hAnsi="仿宋_GB2312" w:cs="仿宋_GB2312" w:eastAsia="仿宋_GB2312"/>
        </w:rPr>
        <w:t>3、税收、社保缴纳证明：具有依法缴纳税收和社保的良好记录（提供截止至开标时间前6个月任一月份的缴费凭据）；依法免税的单位应提供相关证明材料，依法不需要缴纳社会保障资金的单位应提供相关证明材料</w:t>
      </w:r>
    </w:p>
    <w:p>
      <w:pPr>
        <w:pStyle w:val="null3"/>
      </w:pPr>
      <w:r>
        <w:rPr>
          <w:rFonts w:ascii="仿宋_GB2312" w:hAnsi="仿宋_GB2312" w:cs="仿宋_GB2312" w:eastAsia="仿宋_GB2312"/>
        </w:rPr>
        <w:t>4、具有履行本合同所必需的设备和专业技术能力的说明或承诺：提供具有履行本合同所必需的设备和专业技术能力的说明或承诺;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5、无重大违法记录的书面声明：提供参加政府采购活动前三年内在经营活动中无重大违法记录的书面声明</w:t>
      </w:r>
    </w:p>
    <w:p>
      <w:pPr>
        <w:pStyle w:val="null3"/>
      </w:pPr>
      <w:r>
        <w:rPr>
          <w:rFonts w:ascii="仿宋_GB2312" w:hAnsi="仿宋_GB2312" w:cs="仿宋_GB2312" w:eastAsia="仿宋_GB2312"/>
        </w:rPr>
        <w:t>6、企业资质要求：供应商须同时具备有效的有建设行政主管部门颁发的水利水电工程施工总承包三级或以上资质、有效的企业安全生产许可证</w:t>
      </w:r>
    </w:p>
    <w:p>
      <w:pPr>
        <w:pStyle w:val="null3"/>
      </w:pPr>
      <w:r>
        <w:rPr>
          <w:rFonts w:ascii="仿宋_GB2312" w:hAnsi="仿宋_GB2312" w:cs="仿宋_GB2312" w:eastAsia="仿宋_GB2312"/>
        </w:rPr>
        <w:t>7、项目经理（项目负责人）资质：供应商拟派项目经理（项目负责人）须具备有效的水利水电专业二级或以上建造师注册证书及水行政主管部门颁发的安全生产考核合格证（B证），且无在建工程并提供承诺书</w:t>
      </w:r>
    </w:p>
    <w:p>
      <w:pPr>
        <w:pStyle w:val="null3"/>
      </w:pPr>
      <w:r>
        <w:rPr>
          <w:rFonts w:ascii="仿宋_GB2312" w:hAnsi="仿宋_GB2312" w:cs="仿宋_GB2312" w:eastAsia="仿宋_GB2312"/>
        </w:rPr>
        <w:t>8、平台备案：水利水电工程施工总承包企业信息需在“陕西省水利建设市场主体信用信息管理平台”登记备案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西安市周至县四小河流管理站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周甲楠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13468711249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西安市周至县四小河流管理站</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西安市周至县四小河流管理站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西安市周至县四小河流管理站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地址：陕西省西安市曲江新区雁塔南路金辉环球广场C座1509室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1,940,000.00</w:t>
      </w:r>
    </w:p>
    <w:p>
      <w:pPr>
        <w:pStyle w:val="null3"/>
      </w:pPr>
      <w:r>
        <w:rPr>
          <w:rFonts w:ascii="仿宋_GB2312" w:hAnsi="仿宋_GB2312" w:cs="仿宋_GB2312" w:eastAsia="仿宋_GB2312"/>
        </w:rPr>
        <w:t>采购包最高限价（元）: 1,596,600.00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周至县田峪河兴隆村段堤防挡墙水毁修复工程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标的名称：周至县田峪河兴隆村段堤防挡墙水毁修复工程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19"/>
              <w:gridCol w:w="451"/>
              <w:gridCol w:w="919"/>
              <w:gridCol w:w="451"/>
              <w:gridCol w:w="451"/>
            </w:tblGrid>
            <w:tr>
              <w:tc>
                <w:tcPr>
                  <w:tcW w:type="dxa" w:w="319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工程量清单</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单价 </w:t>
                  </w:r>
                  <w:r>
                    <w:br/>
                  </w:r>
                  <w:r>
                    <w:rPr>
                      <w:rFonts w:ascii="仿宋_GB2312" w:hAnsi="仿宋_GB2312" w:cs="仿宋_GB2312" w:eastAsia="仿宋_GB2312"/>
                      <w:sz w:val="18"/>
                      <w:b/>
                      <w:color w:val="000000"/>
                    </w:rPr>
                    <w:t xml:space="preserve"> 编号</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工程或费用名称</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左岸埋石砼挡墙段</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埋石砼挡墙部分</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砂砾石开挖</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2501</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砂砾石回填（自然回填）</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458</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砂砾石回填（压实度0.6）</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3491</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1.1.4</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格宾笼石拆除</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660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1.1.5</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格宾石笼护坡</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520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1.1.6</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C20埋石砼挡墙(埋石率20%）</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1210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1.1.7</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普通平面钢模板</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1377</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1.1.8</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聚乙烯泡沫板填伸缩缝</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152</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1.1.9</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φ75-PVC排水管</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220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1.1.10</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反滤包</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292</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高边坡防护部分</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边坡整修</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780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锚杆（单根长4m）</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根</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96</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格构梁</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1.2.3.1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基础开挖（人工）</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200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1.2.3.2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格构梁C25混凝土</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200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1.2.3.3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普通平面钢模板</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300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1.2.3.4</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钢筋制安</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5.8</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1.2.4</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排水渠C20混凝土浇筑</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96</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1.2.5</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仿木防护栏</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120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人工填筑土石围堰 编制袋砂砾料</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90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人工拆除土石围堰 编制袋砂砾料</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90</w:t>
                  </w:r>
                </w:p>
              </w:tc>
            </w:tr>
            <w:tr>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其他施工临时工程</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2</w:t>
                  </w:r>
                </w:p>
              </w:tc>
            </w:tr>
          </w:tbl>
          <w:p>
            <w:pPr>
              <w:pStyle w:val="null3"/>
            </w:pPr>
            <w:r>
              <w:rPr>
                <w:rFonts w:ascii="仿宋_GB2312" w:hAnsi="仿宋_GB2312" w:cs="仿宋_GB2312" w:eastAsia="仿宋_GB2312"/>
              </w:rPr>
              <w:t>注：本项目最高预算为：1596600元，其中包含</w:t>
            </w:r>
            <w:r>
              <w:rPr>
                <w:rFonts w:ascii="仿宋_GB2312" w:hAnsi="仿宋_GB2312" w:cs="仿宋_GB2312" w:eastAsia="仿宋_GB2312"/>
                <w:sz w:val="18"/>
                <w:color w:val="000000"/>
              </w:rPr>
              <w:t>水土保持工程资金6.00万元整，环境保护工程资金5.00万元整，该两笔费用为不可竞争费用，请各投标单位在投标时予以考虑。</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针对本项目的施工，必须达到国家及行业现行技术规范标准，符合国家及行业验收合格标准。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提供2024年度经审计的财务审计报告或开标前三个月其基本存款账户开户银行出具的资信证明及基本存款账户开户信息；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提供有效的营业执照/事业单位法人证书/非企业专业服务机构执业许可证/民办非企业单位登记证书复印件加盖公章/自然人身份证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提供2024年度经审计的财务审计报告或开标前三个月其基本存款账户开户银行出具的资信证明及基本存款账户开户信息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税收、社保缴纳证明</w:t>
            </w:r>
          </w:p>
        </w:tc>
        <w:tc>
          <w:tcPr>
            <w:tcW w:type="dxa" w:w="3322"/>
          </w:tcPr>
          <w:p>
            <w:pPr>
              <w:pStyle w:val="null3"/>
            </w:pPr>
            <w:r>
              <w:rPr>
                <w:rFonts w:ascii="仿宋_GB2312" w:hAnsi="仿宋_GB2312" w:cs="仿宋_GB2312" w:eastAsia="仿宋_GB2312"/>
              </w:rPr>
              <w:t>具有依法缴纳税收和社保的良好记录（提供截止至开标时间前6个月任一月份的缴费凭据）；依法免税的单位应提供相关证明材料，依法不需要缴纳社会保障资金的单位应提供相关证明材料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供应商须同时具备有效的有建设行政主管部门颁发的水利水电工程施工总承包三级或以上资质、有效的企业安全生产许可证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项目经理（项目负责人）资质</w:t>
            </w:r>
          </w:p>
        </w:tc>
        <w:tc>
          <w:tcPr>
            <w:tcW w:type="dxa" w:w="3322"/>
          </w:tcPr>
          <w:p>
            <w:pPr>
              <w:pStyle w:val="null3"/>
            </w:pPr>
            <w:r>
              <w:rPr>
                <w:rFonts w:ascii="仿宋_GB2312" w:hAnsi="仿宋_GB2312" w:cs="仿宋_GB2312" w:eastAsia="仿宋_GB2312"/>
              </w:rPr>
              <w:t>供应商拟派项目经理（项目负责人）须具备有效的水利水电专业二级或以上建造师注册证书及水行政主管部门颁发的安全生产考核合格证（B证），且无在建工程并提供承诺书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平台备案</w:t>
            </w:r>
          </w:p>
        </w:tc>
        <w:tc>
          <w:tcPr>
            <w:tcW w:type="dxa" w:w="3322"/>
          </w:tcPr>
          <w:p>
            <w:pPr>
              <w:pStyle w:val="null3"/>
            </w:pPr>
            <w:r>
              <w:rPr>
                <w:rFonts w:ascii="仿宋_GB2312" w:hAnsi="仿宋_GB2312" w:cs="仿宋_GB2312" w:eastAsia="仿宋_GB2312"/>
              </w:rPr>
              <w:t>水利水电工程施工总承包企业信息需在“陕西省水利建设市场主体信用信息管理平台”登记备案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投标报价未超过采购预算及最高限价</w:t>
            </w:r>
          </w:p>
        </w:tc>
        <w:tc>
          <w:tcPr>
            <w:tcW w:type="dxa" w:w="3322"/>
          </w:tcPr>
          <w:p>
            <w:pPr>
              <w:pStyle w:val="null3"/>
            </w:pPr>
            <w:r>
              <w:rPr>
                <w:rFonts w:ascii="仿宋_GB2312" w:hAnsi="仿宋_GB2312" w:cs="仿宋_GB2312" w:eastAsia="仿宋_GB2312"/>
              </w:rPr>
              <w:t>投标报价未超过采购预算及最高限价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针对同一项目提交两份或多份内容不同的投标文件，未书面声明哪一份是有效的或出现选择性报价的</w:t>
            </w:r>
          </w:p>
        </w:tc>
        <w:tc>
          <w:tcPr>
            <w:tcW w:type="dxa" w:w="3322"/>
          </w:tcPr>
          <w:p>
            <w:pPr>
              <w:pStyle w:val="null3"/>
            </w:pPr>
            <w:r>
              <w:rPr>
                <w:rFonts w:ascii="仿宋_GB2312" w:hAnsi="仿宋_GB2312" w:cs="仿宋_GB2312" w:eastAsia="仿宋_GB2312"/>
              </w:rPr>
              <w:t>针对同一项目提交两份或多份内容不同的投标文件，未书面声明哪一份是有效的或出现选择性报价的</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投标有效期不少于90日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对竞争性磋商文件技术要求未作出明确响应，对竞争性磋商文件商务要求未作出明确响应</w:t>
            </w:r>
          </w:p>
        </w:tc>
        <w:tc>
          <w:tcPr>
            <w:tcW w:type="dxa" w:w="3322"/>
          </w:tcPr>
          <w:p>
            <w:pPr>
              <w:pStyle w:val="null3"/>
            </w:pPr>
            <w:r>
              <w:rPr>
                <w:rFonts w:ascii="仿宋_GB2312" w:hAnsi="仿宋_GB2312" w:cs="仿宋_GB2312" w:eastAsia="仿宋_GB2312"/>
              </w:rPr>
              <w:t>对竞争性磋商文件技术要求未作出明确响应， 对竞争性磋商文件商务要求未作出明确响应.</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供应商认为需提供的其他材料.docx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供应商认为需提供的其他材料.docx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方案应先进、合理、科学、完善、可行。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措施应完善、先进、可行。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保证文明施工的技术组织措施和环境保护措施合理科学先进，突出治污减霾。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保证工期的技术措施合理、科学、先进。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施工方案完整、合理、科学。 方案切实可行得3.1-6分；方案基本满足、可行性一般得1-3；方案不健全、可行性不足的不得分。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项目组织机构及主要专业技术人员、其他管理人员的配备，人员配备合理、齐全得3.1-6分；人员配备基本合理，基本齐全1-3分；人员配备不合理、不齐全不得分。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机械设备和材料投入计划</w:t>
            </w:r>
          </w:p>
        </w:tc>
        <w:tc>
          <w:tcPr>
            <w:tcW w:type="dxa" w:w="2492"/>
          </w:tcPr>
          <w:p>
            <w:pPr>
              <w:pStyle w:val="null3"/>
            </w:pPr>
            <w:r>
              <w:rPr>
                <w:rFonts w:ascii="仿宋_GB2312" w:hAnsi="仿宋_GB2312" w:cs="仿宋_GB2312" w:eastAsia="仿宋_GB2312"/>
              </w:rPr>
              <w:t>拟投入的施工设备情况及拟投入材料计划。 人员配备切实可行得3.1-6分；人员配备基本满足、可行性一般得1-3；人员配备不健全、可行性不足的不得分。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劳动力及机械设备安排合理妥当，劳动力及机械配备合理、齐全得3.1-6分；劳动力及机械配备基本合理，基本齐全1-3分；劳动力及机械配备不合理、不齐全不得分。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根据投入的设备、技术、工艺评标委员会自主赋分。 方案切实可行得3.1-6分；方案基本满足、可行性一般得1-3；方案不健全、可行性不足的不得分。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提供2022年10月至今(附施工合同或中标通知书复印件，以施工合同签订日期为准)同类项目的业绩，每个业绩得2分，最高得10分，未按要求的不得分。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根据项目特点及供应商的后期服务承诺能否满足本项目特点的及时有效服务。服务方案切实可行得3.1.-6分；方案基本满足、可行性一般得1-3；方案健全、可行性不足的不得分。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①经初审合格的磋商响应文件，其磋商报价为有效磋商报价，对符合政策性扣减的供应商的有效磋商价格进行政策性扣减，并依据扣减后的价格（评审价格）进行价格评审。 ②满足招标文件实质性要求且最终报价最低的供应商的价格为评标基准价，其价格分为满分30分。 ③投标报价得分=（评标基准价/投标报价）×30的公式计算得分。 ④磋商报价不完整的，不进入基准价的计算，本项得0分。 ⑤磋商小组二分之一以上人员认为某磋商总报价有低于成本价嫌疑的，视为无效报价，不进入下一步评审。磋商总报价超过本项目预算的亦视为无效报价。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详见附件：供应商认为需提供的其他材料.docx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