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版本号：ZXGJ-HT-[FW]-2542.1B220260113001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周至县2025年第一批市级农业农村发展专项资金项目(粮食作物重大病虫害应急防治)(三次)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ZXGJ-HT-[FW]-2542.1B2</w:t>
      </w:r>
      <w:r>
        <w:br/>
      </w:r>
      <w:r>
        <w:br/>
      </w:r>
      <w:r>
        <w:br/>
      </w:r>
    </w:p>
    <w:p>
      <w:pPr>
        <w:pStyle w:val="null3"/>
        <w:jc w:val="center"/>
        <w:outlineLvl w:val="2"/>
      </w:pPr>
      <w:r>
        <w:rPr>
          <w:rFonts w:ascii="仿宋_GB2312" w:hAnsi="仿宋_GB2312" w:cs="仿宋_GB2312" w:eastAsia="仿宋_GB2312"/>
          <w:sz w:val="28"/>
          <w:b/>
        </w:rPr>
        <w:t>西安市周至县植保植检站</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西安市周至县植保植检站</w:t>
      </w:r>
      <w:r>
        <w:rPr>
          <w:rFonts w:ascii="仿宋_GB2312" w:hAnsi="仿宋_GB2312" w:cs="仿宋_GB2312" w:eastAsia="仿宋_GB2312"/>
        </w:rPr>
        <w:t>委托，拟对</w:t>
      </w:r>
      <w:r>
        <w:rPr>
          <w:rFonts w:ascii="仿宋_GB2312" w:hAnsi="仿宋_GB2312" w:cs="仿宋_GB2312" w:eastAsia="仿宋_GB2312"/>
        </w:rPr>
        <w:t>周至县2025年第一批市级农业农村发展专项资金项目(粮食作物重大病虫害应急防治)(三次)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ZXGJ-HT-[FW]-2542.1B2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周至县2025年第一批市级农业农村发展专项资金项目(粮食作物重大病虫害应急防治)(三次)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支持开展粮食作物主要病虫害防控工作，包括粮食作物病虫害系统监测、普查、预警、研判及防控所需的物资材料和服务支持，病虫害防控技术培训、宣传等。重大病虫害防治示范面积2.25 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采购包1（周至县2025年第一批市级农业农村发展专项(粮食作物重大病虫害应急防治））：属于专门面向中小企业采购。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3、税收缴纳证明：提供近一年内已缴纳的任意1个月的纳税证明或完税证明，依法免税的单位应提供相关证明材料。</w:t>
      </w:r>
    </w:p>
    <w:p>
      <w:pPr>
        <w:pStyle w:val="null3"/>
      </w:pPr>
      <w:r>
        <w:rPr>
          <w:rFonts w:ascii="仿宋_GB2312" w:hAnsi="仿宋_GB2312" w:cs="仿宋_GB2312" w:eastAsia="仿宋_GB2312"/>
        </w:rPr>
        <w:t>4、社会保障资金缴纳证明：提供近一年内已缴纳的任意1个月的社会保障资金缴存单据或社保机构开具的社会保险参保缴费情况证明，依法不需要缴纳社会保障资金的单位应提供相关证明材料。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10、是否接受联合体投标：本项目不接受联合体投标（提供承诺）。</w:t>
      </w:r>
    </w:p>
    <w:p>
      <w:pPr>
        <w:pStyle w:val="null3"/>
      </w:pPr>
      <w:r>
        <w:rPr>
          <w:rFonts w:ascii="仿宋_GB2312" w:hAnsi="仿宋_GB2312" w:cs="仿宋_GB2312" w:eastAsia="仿宋_GB2312"/>
        </w:rPr>
        <w:t>11、其他要求：单位负责人为同一人或者存在直接控股、管理关系的不同供应商不得参加同一合同项下的政府采购活动；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p>
      <w:pPr>
        <w:pStyle w:val="null3"/>
      </w:pPr>
      <w:r>
        <w:rPr>
          <w:rFonts w:ascii="仿宋_GB2312" w:hAnsi="仿宋_GB2312" w:cs="仿宋_GB2312" w:eastAsia="仿宋_GB2312"/>
        </w:rPr>
        <w:t>12、资格要求：供应商为生产厂家须提供农药登记证、农药生产许可证及农药标准证；供应商为经销商的须提供农药经营许可证及生产厂家的农药登记证、农药生产许可证及农药标准证。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西安市周至县植保植检站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西安市周至县植保植检站经办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029-87112453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 房雪姣、王超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改革委员会办公厅颁发的《关于招标代理服务收费有关问题的通知》（发改办价格[2003]857号）的有关规定收取。成交单位在领取成交通知书之前，须向采购代理机构支付招标代理服务费。 招标代理服务费以转账或现金形式缴纳至以下账户： 开户名称：中昕国际项目管理有限公司第十九分公司 开户银行：中国建设银行股份有限公司西安交大支行 账 号：61050172410000001197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西安市周至县植保植检站</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西安市周至县植保植检站</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西安市周至县植保植检站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 房雪姣、王超</w:t>
      </w:r>
    </w:p>
    <w:p>
      <w:pPr>
        <w:pStyle w:val="null3"/>
      </w:pPr>
      <w:r>
        <w:rPr>
          <w:rFonts w:ascii="仿宋_GB2312" w:hAnsi="仿宋_GB2312" w:cs="仿宋_GB2312" w:eastAsia="仿宋_GB2312"/>
        </w:rPr>
        <w:t>联系电话：029-8228887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支持开展粮食作物主要病虫害防控工作，包括粮食作物病虫害系统监测、普查、预警、研判及防控所需的物资材料和服务支持，病虫害防控技术培训、宣传等。重大病虫害防治示范面积2.25 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175,500.00</w:t>
      </w:r>
    </w:p>
    <w:p>
      <w:pPr>
        <w:pStyle w:val="null3"/>
      </w:pPr>
      <w:r>
        <w:rPr>
          <w:rFonts w:ascii="仿宋_GB2312" w:hAnsi="仿宋_GB2312" w:cs="仿宋_GB2312" w:eastAsia="仿宋_GB2312"/>
        </w:rPr>
        <w:t>采购包最高限价（元）: 175,500.00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防治药剂配送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标的名称：防治药剂配送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9"/>
                <w:b/>
                <w:color w:val="000000"/>
              </w:rPr>
              <w:t>二包《</w:t>
            </w:r>
            <w:r>
              <w:rPr>
                <w:rFonts w:ascii="仿宋_GB2312" w:hAnsi="仿宋_GB2312" w:cs="仿宋_GB2312" w:eastAsia="仿宋_GB2312"/>
                <w:sz w:val="29"/>
                <w:b/>
                <w:color w:val="000000"/>
              </w:rPr>
              <w:t>防治药剂配送</w:t>
            </w:r>
            <w:r>
              <w:rPr>
                <w:rFonts w:ascii="仿宋_GB2312" w:hAnsi="仿宋_GB2312" w:cs="仿宋_GB2312" w:eastAsia="仿宋_GB2312"/>
                <w:sz w:val="29"/>
                <w:b/>
                <w:color w:val="000000"/>
              </w:rPr>
              <w:t>》</w:t>
            </w:r>
          </w:p>
          <w:p>
            <w:pPr>
              <w:pStyle w:val="null3"/>
              <w:jc w:val="both"/>
            </w:pPr>
            <w:r>
              <w:rPr>
                <w:rFonts w:ascii="仿宋_GB2312" w:hAnsi="仿宋_GB2312" w:cs="仿宋_GB2312" w:eastAsia="仿宋_GB2312"/>
                <w:sz w:val="24"/>
              </w:rPr>
              <w:t>一、采购需求</w:t>
            </w:r>
          </w:p>
          <w:p>
            <w:pPr>
              <w:pStyle w:val="null3"/>
              <w:ind w:firstLine="480"/>
              <w:jc w:val="both"/>
            </w:pPr>
            <w:r>
              <w:rPr>
                <w:rFonts w:ascii="仿宋_GB2312" w:hAnsi="仿宋_GB2312" w:cs="仿宋_GB2312" w:eastAsia="仿宋_GB2312"/>
                <w:sz w:val="24"/>
              </w:rPr>
              <w:t>重点保障小麦重大病虫害应急防治，主要用于杀虫剂、杀菌剂等的购置，防治小麦病害条锈病、赤霉病、白粉病、病毒病、茎基腐病和红蜘蛛、蚜虫等病虫害。</w:t>
            </w:r>
          </w:p>
          <w:p>
            <w:pPr>
              <w:pStyle w:val="null3"/>
              <w:ind w:firstLine="480"/>
              <w:jc w:val="both"/>
            </w:pPr>
            <w:r>
              <w:rPr>
                <w:rFonts w:ascii="仿宋_GB2312" w:hAnsi="仿宋_GB2312" w:cs="仿宋_GB2312" w:eastAsia="仿宋_GB2312"/>
                <w:sz w:val="24"/>
                <w:color w:val="000000"/>
              </w:rPr>
              <w:t>杀虫剂</w:t>
            </w:r>
            <w:r>
              <w:rPr>
                <w:rFonts w:ascii="仿宋_GB2312" w:hAnsi="仿宋_GB2312" w:cs="仿宋_GB2312" w:eastAsia="仿宋_GB2312"/>
                <w:sz w:val="24"/>
                <w:color w:val="000000"/>
              </w:rPr>
              <w:t>10%噻虫.高</w:t>
            </w:r>
            <w:r>
              <w:rPr>
                <w:rFonts w:ascii="仿宋_GB2312" w:hAnsi="仿宋_GB2312" w:cs="仿宋_GB2312" w:eastAsia="仿宋_GB2312"/>
                <w:sz w:val="24"/>
                <w:color w:val="000000"/>
              </w:rPr>
              <w:t>氯</w:t>
            </w:r>
            <w:r>
              <w:rPr>
                <w:rFonts w:ascii="仿宋_GB2312" w:hAnsi="仿宋_GB2312" w:cs="仿宋_GB2312" w:eastAsia="仿宋_GB2312"/>
                <w:sz w:val="24"/>
                <w:color w:val="000000"/>
              </w:rPr>
              <w:t>氟悬浮剂</w:t>
            </w:r>
            <w:r>
              <w:rPr>
                <w:rFonts w:ascii="仿宋_GB2312" w:hAnsi="仿宋_GB2312" w:cs="仿宋_GB2312" w:eastAsia="仿宋_GB2312"/>
                <w:sz w:val="24"/>
                <w:color w:val="000000"/>
              </w:rPr>
              <w:t>，</w:t>
            </w:r>
            <w:r>
              <w:rPr>
                <w:rFonts w:ascii="仿宋_GB2312" w:hAnsi="仿宋_GB2312" w:cs="仿宋_GB2312" w:eastAsia="仿宋_GB2312"/>
                <w:sz w:val="24"/>
                <w:color w:val="000000"/>
              </w:rPr>
              <w:t>2250</w:t>
            </w:r>
            <w:r>
              <w:rPr>
                <w:rFonts w:ascii="仿宋_GB2312" w:hAnsi="仿宋_GB2312" w:cs="仿宋_GB2312" w:eastAsia="仿宋_GB2312"/>
                <w:sz w:val="24"/>
                <w:color w:val="000000"/>
              </w:rPr>
              <w:t>瓶，每瓶</w:t>
            </w:r>
            <w:r>
              <w:rPr>
                <w:rFonts w:ascii="仿宋_GB2312" w:hAnsi="仿宋_GB2312" w:cs="仿宋_GB2312" w:eastAsia="仿宋_GB2312"/>
                <w:sz w:val="24"/>
                <w:color w:val="000000"/>
              </w:rPr>
              <w:t>500克</w:t>
            </w:r>
            <w:r>
              <w:rPr>
                <w:rFonts w:ascii="仿宋_GB2312" w:hAnsi="仿宋_GB2312" w:cs="仿宋_GB2312" w:eastAsia="仿宋_GB2312"/>
                <w:sz w:val="24"/>
                <w:color w:val="000000"/>
              </w:rPr>
              <w:t>；杀菌剂</w:t>
            </w:r>
            <w:r>
              <w:rPr>
                <w:rFonts w:ascii="仿宋_GB2312" w:hAnsi="仿宋_GB2312" w:cs="仿宋_GB2312" w:eastAsia="仿宋_GB2312"/>
                <w:sz w:val="24"/>
                <w:color w:val="000000"/>
              </w:rPr>
              <w:t>430克</w:t>
            </w:r>
            <w:r>
              <w:rPr>
                <w:rFonts w:ascii="仿宋_GB2312" w:hAnsi="仿宋_GB2312" w:cs="仿宋_GB2312" w:eastAsia="仿宋_GB2312"/>
                <w:sz w:val="24"/>
                <w:color w:val="000000"/>
              </w:rPr>
              <w:t>/</w:t>
            </w:r>
            <w:r>
              <w:rPr>
                <w:rFonts w:ascii="仿宋_GB2312" w:hAnsi="仿宋_GB2312" w:cs="仿宋_GB2312" w:eastAsia="仿宋_GB2312"/>
                <w:sz w:val="24"/>
                <w:color w:val="000000"/>
              </w:rPr>
              <w:t>升戊唑醇</w:t>
            </w:r>
            <w:r>
              <w:rPr>
                <w:rFonts w:ascii="仿宋_GB2312" w:hAnsi="仿宋_GB2312" w:cs="仿宋_GB2312" w:eastAsia="仿宋_GB2312"/>
                <w:sz w:val="24"/>
                <w:color w:val="000000"/>
              </w:rPr>
              <w:t>悬浮剂，</w:t>
            </w:r>
            <w:r>
              <w:rPr>
                <w:rFonts w:ascii="仿宋_GB2312" w:hAnsi="仿宋_GB2312" w:cs="仿宋_GB2312" w:eastAsia="仿宋_GB2312"/>
                <w:sz w:val="24"/>
                <w:color w:val="000000"/>
              </w:rPr>
              <w:t>1125</w:t>
            </w:r>
            <w:r>
              <w:rPr>
                <w:rFonts w:ascii="仿宋_GB2312" w:hAnsi="仿宋_GB2312" w:cs="仿宋_GB2312" w:eastAsia="仿宋_GB2312"/>
                <w:sz w:val="24"/>
                <w:color w:val="000000"/>
              </w:rPr>
              <w:t>瓶，每瓶</w:t>
            </w:r>
            <w:r>
              <w:rPr>
                <w:rFonts w:ascii="仿宋_GB2312" w:hAnsi="仿宋_GB2312" w:cs="仿宋_GB2312" w:eastAsia="仿宋_GB2312"/>
                <w:sz w:val="24"/>
                <w:color w:val="000000"/>
              </w:rPr>
              <w:t>500克</w:t>
            </w:r>
            <w:r>
              <w:rPr>
                <w:rFonts w:ascii="仿宋_GB2312" w:hAnsi="仿宋_GB2312" w:cs="仿宋_GB2312" w:eastAsia="仿宋_GB2312"/>
                <w:sz w:val="24"/>
                <w:color w:val="000000"/>
              </w:rPr>
              <w:t>；生长调节剂</w:t>
            </w:r>
            <w:r>
              <w:rPr>
                <w:rFonts w:ascii="仿宋_GB2312" w:hAnsi="仿宋_GB2312" w:cs="仿宋_GB2312" w:eastAsia="仿宋_GB2312"/>
                <w:sz w:val="24"/>
                <w:color w:val="000000"/>
              </w:rPr>
              <w:t>0.01%24</w:t>
            </w:r>
            <w:r>
              <w:rPr>
                <w:rFonts w:ascii="仿宋_GB2312" w:hAnsi="仿宋_GB2312" w:cs="仿宋_GB2312" w:eastAsia="仿宋_GB2312"/>
                <w:sz w:val="24"/>
                <w:color w:val="000000"/>
              </w:rPr>
              <w:t>-表芸苔素内</w:t>
            </w:r>
            <w:r>
              <w:rPr>
                <w:rFonts w:ascii="仿宋_GB2312" w:hAnsi="仿宋_GB2312" w:cs="仿宋_GB2312" w:eastAsia="仿宋_GB2312"/>
                <w:sz w:val="24"/>
                <w:color w:val="000000"/>
              </w:rPr>
              <w:t>酯</w:t>
            </w:r>
            <w:r>
              <w:rPr>
                <w:rFonts w:ascii="仿宋_GB2312" w:hAnsi="仿宋_GB2312" w:cs="仿宋_GB2312" w:eastAsia="仿宋_GB2312"/>
                <w:sz w:val="24"/>
                <w:color w:val="000000"/>
              </w:rPr>
              <w:t>可</w:t>
            </w:r>
            <w:r>
              <w:rPr>
                <w:rFonts w:ascii="仿宋_GB2312" w:hAnsi="仿宋_GB2312" w:cs="仿宋_GB2312" w:eastAsia="仿宋_GB2312"/>
                <w:sz w:val="24"/>
                <w:color w:val="000000"/>
              </w:rPr>
              <w:t>溶液</w:t>
            </w:r>
            <w:r>
              <w:rPr>
                <w:rFonts w:ascii="仿宋_GB2312" w:hAnsi="仿宋_GB2312" w:cs="仿宋_GB2312" w:eastAsia="仿宋_GB2312"/>
                <w:sz w:val="24"/>
                <w:color w:val="000000"/>
              </w:rPr>
              <w:t>剂，</w:t>
            </w:r>
            <w:r>
              <w:rPr>
                <w:rFonts w:ascii="仿宋_GB2312" w:hAnsi="仿宋_GB2312" w:cs="仿宋_GB2312" w:eastAsia="仿宋_GB2312"/>
                <w:sz w:val="24"/>
                <w:color w:val="000000"/>
              </w:rPr>
              <w:t>11</w:t>
            </w:r>
            <w:r>
              <w:rPr>
                <w:rFonts w:ascii="仿宋_GB2312" w:hAnsi="仿宋_GB2312" w:cs="仿宋_GB2312" w:eastAsia="仿宋_GB2312"/>
                <w:sz w:val="24"/>
                <w:color w:val="000000"/>
              </w:rPr>
              <w:t>25瓶，每瓶</w:t>
            </w:r>
            <w:r>
              <w:rPr>
                <w:rFonts w:ascii="仿宋_GB2312" w:hAnsi="仿宋_GB2312" w:cs="仿宋_GB2312" w:eastAsia="仿宋_GB2312"/>
                <w:sz w:val="24"/>
                <w:color w:val="000000"/>
              </w:rPr>
              <w:t>5</w:t>
            </w:r>
            <w:r>
              <w:rPr>
                <w:rFonts w:ascii="仿宋_GB2312" w:hAnsi="仿宋_GB2312" w:cs="仿宋_GB2312" w:eastAsia="仿宋_GB2312"/>
                <w:sz w:val="24"/>
                <w:color w:val="000000"/>
              </w:rPr>
              <w:t>00毫升。</w:t>
            </w:r>
          </w:p>
          <w:p>
            <w:pPr>
              <w:pStyle w:val="null3"/>
              <w:jc w:val="both"/>
            </w:pPr>
            <w:r>
              <w:rPr>
                <w:rFonts w:ascii="仿宋_GB2312" w:hAnsi="仿宋_GB2312" w:cs="仿宋_GB2312" w:eastAsia="仿宋_GB2312"/>
                <w:sz w:val="24"/>
              </w:rPr>
              <w:t>二、配送要求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供应商自备配送车，安排专人及时进行配送，期间产生的费用及运输安全由供应商自行承担；</w:t>
            </w:r>
          </w:p>
          <w:p>
            <w:pPr>
              <w:pStyle w:val="null3"/>
              <w:ind w:firstLine="480"/>
              <w:jc w:val="both"/>
            </w:pPr>
            <w:r>
              <w:rPr>
                <w:rFonts w:ascii="仿宋_GB2312" w:hAnsi="仿宋_GB2312" w:cs="仿宋_GB2312" w:eastAsia="仿宋_GB2312"/>
                <w:sz w:val="24"/>
              </w:rPr>
              <w:t>所有供应商必须按照采购人的要求进行配送，并且满足采购人使用需求。所有药剂使用情况根据采购人实际需求量随时调整配送计划及配送时间，供应商应按时保质保量将所需药剂配送至采购人指定地点。</w:t>
            </w:r>
          </w:p>
          <w:p>
            <w:pPr>
              <w:pStyle w:val="null3"/>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2.1 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2026年4月20日</w:t>
            </w:r>
          </w:p>
          <w:p>
            <w:pPr>
              <w:pStyle w:val="null3"/>
              <w:ind w:firstLine="480"/>
              <w:jc w:val="both"/>
            </w:pPr>
            <w:r>
              <w:rPr>
                <w:rFonts w:ascii="仿宋_GB2312" w:hAnsi="仿宋_GB2312" w:cs="仿宋_GB2312" w:eastAsia="仿宋_GB2312"/>
                <w:sz w:val="24"/>
              </w:rPr>
              <w:t>2.2 服务质量：合格</w:t>
            </w:r>
          </w:p>
          <w:p>
            <w:pPr>
              <w:pStyle w:val="null3"/>
              <w:ind w:firstLine="480"/>
              <w:jc w:val="both"/>
            </w:pPr>
            <w:r>
              <w:rPr>
                <w:rFonts w:ascii="仿宋_GB2312" w:hAnsi="仿宋_GB2312" w:cs="仿宋_GB2312" w:eastAsia="仿宋_GB2312"/>
                <w:sz w:val="24"/>
              </w:rPr>
              <w:t>2.3 送货地点：采购人指定地点</w:t>
            </w:r>
          </w:p>
          <w:p>
            <w:pPr>
              <w:pStyle w:val="null3"/>
              <w:ind w:firstLine="480"/>
              <w:jc w:val="both"/>
            </w:pPr>
            <w:r>
              <w:rPr>
                <w:rFonts w:ascii="仿宋_GB2312" w:hAnsi="仿宋_GB2312" w:cs="仿宋_GB2312" w:eastAsia="仿宋_GB2312"/>
                <w:sz w:val="24"/>
              </w:rPr>
              <w:t>2.4 付款方式：项目完工并且验收合格后，30日内一次性付清本项目所有款项。</w:t>
            </w:r>
          </w:p>
          <w:p>
            <w:pPr>
              <w:pStyle w:val="null3"/>
              <w:ind w:firstLine="480"/>
              <w:jc w:val="both"/>
            </w:pPr>
            <w:r>
              <w:rPr>
                <w:rFonts w:ascii="仿宋_GB2312" w:hAnsi="仿宋_GB2312" w:cs="仿宋_GB2312" w:eastAsia="仿宋_GB2312"/>
                <w:sz w:val="24"/>
              </w:rPr>
              <w:t>2.5 服务范围：完成本次采购项目所有任务。</w:t>
            </w:r>
          </w:p>
          <w:p>
            <w:pPr>
              <w:pStyle w:val="null3"/>
              <w:jc w:val="both"/>
            </w:pPr>
            <w:r>
              <w:rPr>
                <w:rFonts w:ascii="仿宋_GB2312" w:hAnsi="仿宋_GB2312" w:cs="仿宋_GB2312" w:eastAsia="仿宋_GB2312"/>
                <w:sz w:val="24"/>
              </w:rPr>
              <w:t>2.6 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合同签订之日起至2026年4月20日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以尚村、终南及四屯等小麦主产镇街为主，兼顾其它麦田病虫重发区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项目完工并且验收合格后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1、各供应商所有分项报价（与最后磋商报价比例一致）同比例下浮。 2、工业行业的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提供近一年内已缴纳的任意1个月的社会保障资金缴存单据或社保机构开具的社会保险参保缴费情况证明，依法不需要缴纳社会保障资金的单位应提供相关证明材料。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供应商为生产厂家须提供农药登记证、农药生产许可证及农药标准证；供应商为经销商的须提供农药经营许可证及生产厂家的农药登记证、农药生产许可证及农药标准证。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①方案详细具体、无漏项、贴合实际、切实可行，满足采购人要求的得10分； ②方案一般、方案描述夸大其词、方案复制粘贴无任何操作性得7分； ③方案无法满足采购人要求的得4分；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①方案详细具体、无漏项、贴合实际、切实可行，满足采购人要求的得10分； ②方案一般、方案描述夸大其词、方案复制粘贴无任何操作性得7分；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①应急处理措施及紧急调用应急方案内容全面详细、阐述条理清晰，具有针对性，切实可行，能有效保障本项目实施，满足采购人要求得9分； ②应急处理措施及紧急调用应急方案内容较完善、合理性一般、内容表述不严谨、项目方案、与项目需求可行性一般，得5分； ③应急处理措施及紧急调用应急方案内容不完善、不合理、内容表述前后不一致、套用其他项目方案、与项目需求不匹配、不利于项目实施得2分；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供应商针对本项目提供的售后服务方案（至少包括：响应速度、解决时间、服务质量等关键因素），按其响应程度赋分 ①售后服务方案详细具体、无漏项、贴合实际、切实可行，满足采购人要求的得9分； ②售后服务方案一般、方案描述夸大其词、方案复制粘贴无任何操作性得6分； ③售后服务方案无明显错误，能基本满足本次项目要求得3分； ④售后服务方案无法满足采购人要求的得1分；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针对性强得5分； 合理化建议较合理，针对性一般得3分； 合理化建议简洁，针对性较差得1分；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