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AA3BC">
      <w:pPr>
        <w:spacing w:line="480" w:lineRule="exact"/>
        <w:rPr>
          <w:rFonts w:hint="default" w:ascii="宋体" w:hAnsi="宋体" w:eastAsia="宋体" w:cs="宋体"/>
          <w:b/>
          <w:color w:val="auto"/>
          <w:szCs w:val="24"/>
          <w:lang w:val="en-US"/>
        </w:rPr>
      </w:pPr>
      <w:r>
        <w:rPr>
          <w:rFonts w:hint="default" w:ascii="宋体" w:hAnsi="宋体" w:eastAsia="宋体" w:cs="宋体"/>
          <w:b/>
          <w:color w:val="auto"/>
          <w:szCs w:val="24"/>
          <w:lang w:val="en-US"/>
        </w:rPr>
        <w:t>人员培训方案</w:t>
      </w:r>
      <w:bookmarkStart w:id="0" w:name="_GoBack"/>
      <w:bookmarkEnd w:id="0"/>
    </w:p>
    <w:p w14:paraId="35DF1DCF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0B54D04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6300458C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10374F3E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AC320F0"/>
    <w:rsid w:val="1D965634"/>
    <w:rsid w:val="2B732A92"/>
    <w:rsid w:val="5AC320F0"/>
    <w:rsid w:val="7A2B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2024-12-30T06:48:58Z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158333CCF95544E9BDAE0DB16263CAAC_11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