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版本号：QH2026-CS-00620260122001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周至县人民医院污水处理站运行维护委托第三方运维项目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QH2026-CS-006</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周至县人民医院污水处理站运行维护委托第三方运维项目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周至县人民医院污水处理站运行维护委托第三方运维项目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周至县人民医院污水处理站运行维护委托第三方运维项目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采购包1（周至县人民医院污水处理站运行维护委托第三方运维项目）：属于专门面向小微企业采购。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审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证明：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9、中小企业声明函：需提供中小企业声明函；</w:t>
      </w:r>
    </w:p>
    <w:p>
      <w:pPr>
        <w:pStyle w:val="null3"/>
      </w:pPr>
      <w:r>
        <w:rPr>
          <w:rFonts w:ascii="仿宋_GB2312" w:hAnsi="仿宋_GB2312" w:cs="仿宋_GB2312" w:eastAsia="仿宋_GB2312"/>
        </w:rPr>
        <w:t>10、公司控股：提供直接控股和管理关系清单。若与其他供应商存在单位负责人为同一人或者存在直接控股、管理关系的，则投标无效；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陕西省西安市雁塔区高新路25号瑞欣大厦6楼B户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采购包1：408,680.00元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依据国家相关标准、规范及有关技术文件进行质量验收及考核；如国家或行业标准发生变化，运维单位根据法律的规定必须执行。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地址：陕西省西安市雁塔区高新路25号瑞欣大厦6楼B户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周至县人民医院污水处理站运行维护委托第三方运维项目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408,680.00</w:t>
      </w:r>
    </w:p>
    <w:p>
      <w:pPr>
        <w:pStyle w:val="null3"/>
      </w:pPr>
      <w:r>
        <w:rPr>
          <w:rFonts w:ascii="仿宋_GB2312" w:hAnsi="仿宋_GB2312" w:cs="仿宋_GB2312" w:eastAsia="仿宋_GB2312"/>
        </w:rPr>
        <w:t>采购包最高限价（元）: 408,680.00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污水处理第三方运维服务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408,680.00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标的名称：污水处理第三方运维服务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18"/>
                <w:b/>
              </w:rPr>
              <w:t>一、项目概况</w:t>
            </w:r>
          </w:p>
          <w:p>
            <w:pPr>
              <w:pStyle w:val="null3"/>
              <w:ind w:firstLine="480"/>
              <w:jc w:val="both"/>
            </w:pPr>
            <w:r>
              <w:rPr>
                <w:rFonts w:ascii="仿宋_GB2312" w:hAnsi="仿宋_GB2312" w:cs="仿宋_GB2312" w:eastAsia="仿宋_GB2312"/>
                <w:sz w:val="18"/>
              </w:rPr>
              <w:t>周至县人民医院坐落于周至县二曲街道工业路中段，院内设有两座污水处理站，分别为综合楼污水处理站与感染楼污水处理站。现拟将这两座污水处理站的运维工作外包</w:t>
            </w:r>
            <w:r>
              <w:rPr>
                <w:rFonts w:ascii="仿宋_GB2312" w:hAnsi="仿宋_GB2312" w:cs="仿宋_GB2312" w:eastAsia="仿宋_GB2312"/>
                <w:sz w:val="18"/>
              </w:rPr>
              <w:t>。</w:t>
            </w:r>
          </w:p>
          <w:p>
            <w:pPr>
              <w:pStyle w:val="null3"/>
              <w:ind w:firstLine="482"/>
            </w:pPr>
            <w:r>
              <w:rPr>
                <w:rFonts w:ascii="仿宋_GB2312" w:hAnsi="仿宋_GB2312" w:cs="仿宋_GB2312" w:eastAsia="仿宋_GB2312"/>
                <w:sz w:val="18"/>
                <w:b/>
              </w:rPr>
              <w:t>二、服务模式</w:t>
            </w:r>
          </w:p>
          <w:p>
            <w:pPr>
              <w:pStyle w:val="null3"/>
              <w:ind w:firstLine="480"/>
              <w:jc w:val="both"/>
            </w:pPr>
            <w:r>
              <w:rPr>
                <w:rFonts w:ascii="仿宋_GB2312" w:hAnsi="仿宋_GB2312" w:cs="仿宋_GB2312" w:eastAsia="仿宋_GB2312"/>
                <w:sz w:val="18"/>
              </w:rPr>
              <w:t>实行</w:t>
            </w:r>
            <w:r>
              <w:rPr>
                <w:rFonts w:ascii="仿宋_GB2312" w:hAnsi="仿宋_GB2312" w:cs="仿宋_GB2312" w:eastAsia="仿宋_GB2312"/>
                <w:sz w:val="18"/>
              </w:rPr>
              <w:t>24小时工作制</w:t>
            </w:r>
          </w:p>
          <w:p>
            <w:pPr>
              <w:pStyle w:val="null3"/>
              <w:ind w:firstLine="482"/>
            </w:pPr>
            <w:r>
              <w:rPr>
                <w:rFonts w:ascii="仿宋_GB2312" w:hAnsi="仿宋_GB2312" w:cs="仿宋_GB2312" w:eastAsia="仿宋_GB2312"/>
                <w:sz w:val="18"/>
                <w:b/>
              </w:rPr>
              <w:t>三、进水水质情况、出水要求</w:t>
            </w:r>
          </w:p>
          <w:p>
            <w:pPr>
              <w:pStyle w:val="null3"/>
              <w:ind w:firstLine="482"/>
            </w:pPr>
            <w:r>
              <w:rPr>
                <w:rFonts w:ascii="仿宋_GB2312" w:hAnsi="仿宋_GB2312" w:cs="仿宋_GB2312" w:eastAsia="仿宋_GB2312"/>
                <w:sz w:val="18"/>
                <w:b/>
              </w:rPr>
              <w:t>1、进水水质情况</w:t>
            </w:r>
          </w:p>
          <w:p>
            <w:pPr>
              <w:pStyle w:val="null3"/>
              <w:ind w:firstLine="480"/>
            </w:pPr>
            <w:r>
              <w:rPr>
                <w:rFonts w:ascii="仿宋_GB2312" w:hAnsi="仿宋_GB2312" w:cs="仿宋_GB2312" w:eastAsia="仿宋_GB2312"/>
                <w:sz w:val="18"/>
              </w:rPr>
              <w:t>污水处理站暂无进水水质化验报告，本次报价暂按设计进水水质计算，如果实际进水水质与设计水质相差较大，运行费用需根据实际情况重新计算。</w:t>
            </w:r>
          </w:p>
          <w:p>
            <w:pPr>
              <w:pStyle w:val="null3"/>
              <w:ind w:firstLine="480"/>
            </w:pPr>
            <w:r>
              <w:rPr>
                <w:rFonts w:ascii="仿宋_GB2312" w:hAnsi="仿宋_GB2312" w:cs="仿宋_GB2312" w:eastAsia="仿宋_GB2312"/>
                <w:sz w:val="18"/>
              </w:rPr>
              <w:t>其进水水质指标如下表：</w:t>
            </w:r>
          </w:p>
          <w:p>
            <w:pPr>
              <w:pStyle w:val="null3"/>
              <w:ind w:firstLine="480"/>
              <w:jc w:val="center"/>
            </w:pPr>
            <w:r>
              <w:rPr>
                <w:rFonts w:ascii="仿宋_GB2312" w:hAnsi="仿宋_GB2312" w:cs="仿宋_GB2312" w:eastAsia="仿宋_GB2312"/>
                <w:sz w:val="18"/>
              </w:rPr>
              <w:t>表</w:t>
            </w:r>
            <w:r>
              <w:rPr>
                <w:rFonts w:ascii="仿宋_GB2312" w:hAnsi="仿宋_GB2312" w:cs="仿宋_GB2312" w:eastAsia="仿宋_GB2312"/>
                <w:sz w:val="18"/>
              </w:rPr>
              <w:t>1：项目进水水质表</w:t>
            </w:r>
          </w:p>
          <w:tbl>
            <w:tblPr>
              <w:tblInd w:type="dxa" w:w="105"/>
              <w:tblBorders>
                <w:top w:val="none" w:color="000000" w:sz="4"/>
                <w:left w:val="none" w:color="000000" w:sz="4"/>
                <w:bottom w:val="none" w:color="000000" w:sz="4"/>
                <w:right w:val="none" w:color="000000" w:sz="4"/>
                <w:insideH w:val="none"/>
                <w:insideV w:val="none"/>
              </w:tblBorders>
            </w:tblPr>
            <w:tblGrid>
              <w:gridCol w:w="434"/>
              <w:gridCol w:w="318"/>
              <w:gridCol w:w="524"/>
              <w:gridCol w:w="370"/>
              <w:gridCol w:w="318"/>
              <w:gridCol w:w="524"/>
            </w:tblGrid>
            <w:tr>
              <w:tc>
                <w:tcPr>
                  <w:tcW w:type="dxa" w:w="4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项目</w:t>
                  </w:r>
                </w:p>
              </w:tc>
              <w:tc>
                <w:tcPr>
                  <w:tcW w:type="dxa" w:w="3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pH</w:t>
                  </w:r>
                </w:p>
              </w:tc>
              <w:tc>
                <w:tcPr>
                  <w:tcW w:type="dxa" w:w="5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CODcr</w:t>
                  </w:r>
                </w:p>
              </w:tc>
              <w:tc>
                <w:tcPr>
                  <w:tcW w:type="dxa" w:w="3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BOD</w:t>
                  </w:r>
                  <w:r>
                    <w:rPr>
                      <w:rFonts w:ascii="仿宋_GB2312" w:hAnsi="仿宋_GB2312" w:cs="仿宋_GB2312" w:eastAsia="仿宋_GB2312"/>
                      <w:sz w:val="18"/>
                      <w:vertAlign w:val="subscript"/>
                    </w:rPr>
                    <w:t>5</w:t>
                  </w:r>
                </w:p>
              </w:tc>
              <w:tc>
                <w:tcPr>
                  <w:tcW w:type="dxa" w:w="3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SS</w:t>
                  </w:r>
                </w:p>
              </w:tc>
              <w:tc>
                <w:tcPr>
                  <w:tcW w:type="dxa" w:w="5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NH3-N</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进水水质</w:t>
                  </w:r>
                </w:p>
              </w:tc>
              <w:tc>
                <w:tcPr>
                  <w:tcW w:type="dxa" w:w="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6-9</w:t>
                  </w:r>
                </w:p>
              </w:tc>
              <w:tc>
                <w:tcPr>
                  <w:tcW w:type="dxa" w:w="5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500</w:t>
                  </w:r>
                </w:p>
              </w:tc>
              <w:tc>
                <w:tcPr>
                  <w:tcW w:type="dxa" w:w="3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260</w:t>
                  </w:r>
                </w:p>
              </w:tc>
              <w:tc>
                <w:tcPr>
                  <w:tcW w:type="dxa" w:w="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400</w:t>
                  </w:r>
                </w:p>
              </w:tc>
              <w:tc>
                <w:tcPr>
                  <w:tcW w:type="dxa" w:w="5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40</w:t>
                  </w:r>
                </w:p>
              </w:tc>
            </w:tr>
          </w:tbl>
          <w:p>
            <w:pPr>
              <w:pStyle w:val="null3"/>
              <w:spacing w:before="120"/>
              <w:ind w:firstLine="482"/>
              <w:jc w:val="both"/>
            </w:pPr>
            <w:r>
              <w:rPr>
                <w:rFonts w:ascii="仿宋_GB2312" w:hAnsi="仿宋_GB2312" w:cs="仿宋_GB2312" w:eastAsia="仿宋_GB2312"/>
                <w:sz w:val="18"/>
                <w:b/>
              </w:rPr>
              <w:t>2、出水水质排放标准</w:t>
            </w:r>
          </w:p>
          <w:p>
            <w:pPr>
              <w:pStyle w:val="null3"/>
              <w:ind w:firstLine="480"/>
              <w:jc w:val="both"/>
            </w:pPr>
            <w:r>
              <w:rPr>
                <w:rFonts w:ascii="仿宋_GB2312" w:hAnsi="仿宋_GB2312" w:cs="仿宋_GB2312" w:eastAsia="仿宋_GB2312"/>
                <w:sz w:val="18"/>
              </w:rPr>
              <w:t>综合楼</w:t>
            </w:r>
            <w:r>
              <w:rPr>
                <w:rFonts w:ascii="仿宋_GB2312" w:hAnsi="仿宋_GB2312" w:cs="仿宋_GB2312" w:eastAsia="仿宋_GB2312"/>
                <w:sz w:val="18"/>
              </w:rPr>
              <w:t>污水处理站确保污水排放水质符合《医疗机构水污染物排放标准》（</w:t>
            </w:r>
            <w:r>
              <w:rPr>
                <w:rFonts w:ascii="仿宋_GB2312" w:hAnsi="仿宋_GB2312" w:cs="仿宋_GB2312" w:eastAsia="仿宋_GB2312"/>
                <w:sz w:val="18"/>
              </w:rPr>
              <w:t>GB18466-2005）</w:t>
            </w:r>
            <w:r>
              <w:rPr>
                <w:rFonts w:ascii="仿宋_GB2312" w:hAnsi="仿宋_GB2312" w:cs="仿宋_GB2312" w:eastAsia="仿宋_GB2312"/>
                <w:sz w:val="18"/>
              </w:rPr>
              <w:t>表</w:t>
            </w:r>
            <w:r>
              <w:rPr>
                <w:rFonts w:ascii="仿宋_GB2312" w:hAnsi="仿宋_GB2312" w:cs="仿宋_GB2312" w:eastAsia="仿宋_GB2312"/>
                <w:sz w:val="18"/>
              </w:rPr>
              <w:t>2</w:t>
            </w:r>
            <w:r>
              <w:rPr>
                <w:rFonts w:ascii="仿宋_GB2312" w:hAnsi="仿宋_GB2312" w:cs="仿宋_GB2312" w:eastAsia="仿宋_GB2312"/>
                <w:sz w:val="18"/>
              </w:rPr>
              <w:t>预处理标准要求</w:t>
            </w:r>
            <w:r>
              <w:rPr>
                <w:rFonts w:ascii="仿宋_GB2312" w:hAnsi="仿宋_GB2312" w:cs="仿宋_GB2312" w:eastAsia="仿宋_GB2312"/>
                <w:sz w:val="18"/>
              </w:rPr>
              <w:t>。</w:t>
            </w:r>
          </w:p>
          <w:p>
            <w:pPr>
              <w:pStyle w:val="null3"/>
              <w:ind w:firstLine="480"/>
              <w:jc w:val="both"/>
            </w:pPr>
            <w:r>
              <w:rPr>
                <w:rFonts w:ascii="仿宋_GB2312" w:hAnsi="仿宋_GB2312" w:cs="仿宋_GB2312" w:eastAsia="仿宋_GB2312"/>
                <w:sz w:val="18"/>
              </w:rPr>
              <w:t>感染楼污水处理站</w:t>
            </w:r>
            <w:r>
              <w:rPr>
                <w:rFonts w:ascii="仿宋_GB2312" w:hAnsi="仿宋_GB2312" w:cs="仿宋_GB2312" w:eastAsia="仿宋_GB2312"/>
                <w:sz w:val="18"/>
              </w:rPr>
              <w:t>确保污水排放水质符合《医疗机构水污染物排放标准》（</w:t>
            </w:r>
            <w:r>
              <w:rPr>
                <w:rFonts w:ascii="仿宋_GB2312" w:hAnsi="仿宋_GB2312" w:cs="仿宋_GB2312" w:eastAsia="仿宋_GB2312"/>
                <w:sz w:val="18"/>
              </w:rPr>
              <w:t>GB18466-2005）表</w:t>
            </w:r>
            <w:r>
              <w:rPr>
                <w:rFonts w:ascii="仿宋_GB2312" w:hAnsi="仿宋_GB2312" w:cs="仿宋_GB2312" w:eastAsia="仿宋_GB2312"/>
                <w:sz w:val="18"/>
              </w:rPr>
              <w:t>1排放标准限值</w:t>
            </w:r>
            <w:r>
              <w:rPr>
                <w:rFonts w:ascii="仿宋_GB2312" w:hAnsi="仿宋_GB2312" w:cs="仿宋_GB2312" w:eastAsia="仿宋_GB2312"/>
                <w:sz w:val="18"/>
              </w:rPr>
              <w:t>要求。</w:t>
            </w:r>
          </w:p>
          <w:p>
            <w:pPr>
              <w:pStyle w:val="null3"/>
              <w:ind w:firstLine="482"/>
            </w:pPr>
            <w:r>
              <w:rPr>
                <w:rFonts w:ascii="仿宋_GB2312" w:hAnsi="仿宋_GB2312" w:cs="仿宋_GB2312" w:eastAsia="仿宋_GB2312"/>
                <w:sz w:val="18"/>
                <w:b/>
              </w:rPr>
              <w:t>四、技术服务要求</w:t>
            </w:r>
          </w:p>
          <w:p>
            <w:pPr>
              <w:pStyle w:val="null3"/>
              <w:ind w:firstLine="482"/>
            </w:pPr>
            <w:r>
              <w:rPr>
                <w:rFonts w:ascii="仿宋_GB2312" w:hAnsi="仿宋_GB2312" w:cs="仿宋_GB2312" w:eastAsia="仿宋_GB2312"/>
                <w:sz w:val="18"/>
                <w:b/>
              </w:rPr>
              <w:t>1、技术规格要求</w:t>
            </w:r>
          </w:p>
          <w:p>
            <w:pPr>
              <w:pStyle w:val="null3"/>
              <w:spacing w:before="120"/>
              <w:jc w:val="center"/>
            </w:pPr>
            <w:r>
              <w:rPr>
                <w:rFonts w:ascii="仿宋_GB2312" w:hAnsi="仿宋_GB2312" w:cs="仿宋_GB2312" w:eastAsia="仿宋_GB2312"/>
                <w:sz w:val="18"/>
              </w:rPr>
              <w:t>表</w:t>
            </w:r>
            <w:r>
              <w:rPr>
                <w:rFonts w:ascii="仿宋_GB2312" w:hAnsi="仿宋_GB2312" w:cs="仿宋_GB2312" w:eastAsia="仿宋_GB2312"/>
                <w:sz w:val="18"/>
              </w:rPr>
              <w:t xml:space="preserve">2  </w:t>
            </w:r>
            <w:r>
              <w:rPr>
                <w:rFonts w:ascii="仿宋_GB2312" w:hAnsi="仿宋_GB2312" w:cs="仿宋_GB2312" w:eastAsia="仿宋_GB2312"/>
                <w:sz w:val="18"/>
              </w:rPr>
              <w:t>综合楼污水站</w:t>
            </w:r>
            <w:r>
              <w:rPr>
                <w:rFonts w:ascii="仿宋_GB2312" w:hAnsi="仿宋_GB2312" w:cs="仿宋_GB2312" w:eastAsia="仿宋_GB2312"/>
                <w:sz w:val="18"/>
              </w:rPr>
              <w:t>技术规格要求</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450"/>
              <w:gridCol w:w="1856"/>
            </w:tblGrid>
            <w:tr>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序号</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项目</w:t>
                  </w:r>
                </w:p>
              </w:tc>
              <w:tc>
                <w:tcPr>
                  <w:tcW w:type="dxa" w:w="18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要求</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1</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处理量</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600</w:t>
                  </w:r>
                  <w:r>
                    <w:rPr>
                      <w:rFonts w:ascii="仿宋_GB2312" w:hAnsi="仿宋_GB2312" w:cs="仿宋_GB2312" w:eastAsia="仿宋_GB2312"/>
                      <w:sz w:val="18"/>
                    </w:rPr>
                    <w:t>吨</w:t>
                  </w:r>
                  <w:r>
                    <w:rPr>
                      <w:rFonts w:ascii="仿宋_GB2312" w:hAnsi="仿宋_GB2312" w:cs="仿宋_GB2312" w:eastAsia="仿宋_GB2312"/>
                      <w:sz w:val="18"/>
                    </w:rPr>
                    <w:t>/日</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2</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处理工艺</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化粪池</w:t>
                  </w:r>
                  <w:r>
                    <w:rPr>
                      <w:rFonts w:ascii="仿宋_GB2312" w:hAnsi="仿宋_GB2312" w:cs="仿宋_GB2312" w:eastAsia="仿宋_GB2312"/>
                      <w:sz w:val="18"/>
                    </w:rPr>
                    <w:t>→格栅→调节池→水解酸化池→氧化接触池→沉淀池→消毒除→市政外排</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3</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设备材质</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混凝土结构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4</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电源电压</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380V</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5</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安装方式</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地下</w:t>
                  </w:r>
                  <w:r>
                    <w:rPr>
                      <w:rFonts w:ascii="仿宋_GB2312" w:hAnsi="仿宋_GB2312" w:cs="仿宋_GB2312" w:eastAsia="仿宋_GB2312"/>
                      <w:sz w:val="18"/>
                    </w:rPr>
                    <w:t>式安装</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6</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控制要求</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全自动运行，可手自动运行切换</w:t>
                  </w:r>
                </w:p>
              </w:tc>
            </w:tr>
          </w:tbl>
          <w:p>
            <w:pPr>
              <w:pStyle w:val="null3"/>
              <w:jc w:val="center"/>
            </w:pPr>
            <w:r>
              <w:rPr>
                <w:rFonts w:ascii="仿宋_GB2312" w:hAnsi="仿宋_GB2312" w:cs="仿宋_GB2312" w:eastAsia="仿宋_GB2312"/>
                <w:sz w:val="18"/>
              </w:rPr>
              <w:t>表</w:t>
            </w:r>
            <w:r>
              <w:rPr>
                <w:rFonts w:ascii="仿宋_GB2312" w:hAnsi="仿宋_GB2312" w:cs="仿宋_GB2312" w:eastAsia="仿宋_GB2312"/>
                <w:sz w:val="18"/>
              </w:rPr>
              <w:t>3 感染楼污水站</w:t>
            </w:r>
            <w:r>
              <w:rPr>
                <w:rFonts w:ascii="仿宋_GB2312" w:hAnsi="仿宋_GB2312" w:cs="仿宋_GB2312" w:eastAsia="仿宋_GB2312"/>
                <w:sz w:val="18"/>
              </w:rPr>
              <w:t>技术规格要求</w:t>
            </w:r>
          </w:p>
          <w:tbl>
            <w:tblPr>
              <w:tblBorders>
                <w:top w:val="none" w:color="000000" w:sz="4"/>
                <w:left w:val="none" w:color="000000" w:sz="4"/>
                <w:bottom w:val="none" w:color="000000" w:sz="4"/>
                <w:right w:val="none" w:color="000000" w:sz="4"/>
                <w:insideH w:val="none"/>
                <w:insideV w:val="none"/>
              </w:tblBorders>
            </w:tblPr>
            <w:tblGrid>
              <w:gridCol w:w="247"/>
              <w:gridCol w:w="450"/>
              <w:gridCol w:w="1856"/>
            </w:tblGrid>
            <w:tr>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序号</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项目</w:t>
                  </w:r>
                </w:p>
              </w:tc>
              <w:tc>
                <w:tcPr>
                  <w:tcW w:type="dxa" w:w="18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b/>
                    </w:rPr>
                    <w:t>要求</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1</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处理量</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150</w:t>
                  </w:r>
                  <w:r>
                    <w:rPr>
                      <w:rFonts w:ascii="仿宋_GB2312" w:hAnsi="仿宋_GB2312" w:cs="仿宋_GB2312" w:eastAsia="仿宋_GB2312"/>
                      <w:sz w:val="18"/>
                    </w:rPr>
                    <w:t>吨</w:t>
                  </w:r>
                  <w:r>
                    <w:rPr>
                      <w:rFonts w:ascii="仿宋_GB2312" w:hAnsi="仿宋_GB2312" w:cs="仿宋_GB2312" w:eastAsia="仿宋_GB2312"/>
                      <w:sz w:val="18"/>
                    </w:rPr>
                    <w:t>/日</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2</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处理工艺</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化粪池</w:t>
                  </w:r>
                  <w:r>
                    <w:rPr>
                      <w:rFonts w:ascii="仿宋_GB2312" w:hAnsi="仿宋_GB2312" w:cs="仿宋_GB2312" w:eastAsia="仿宋_GB2312"/>
                      <w:sz w:val="18"/>
                    </w:rPr>
                    <w:t>→格栅→调节池→厌氧池→缺氧池→好氧池→MBR膜池→消毒池→市政外排</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3</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设备材质</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设备主体采用碳钢防腐材质</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4</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电源电压</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380V</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5</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安装方式</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地下</w:t>
                  </w:r>
                  <w:r>
                    <w:rPr>
                      <w:rFonts w:ascii="仿宋_GB2312" w:hAnsi="仿宋_GB2312" w:cs="仿宋_GB2312" w:eastAsia="仿宋_GB2312"/>
                      <w:sz w:val="18"/>
                    </w:rPr>
                    <w:t>式安装</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6</w:t>
                  </w: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8"/>
                    </w:rPr>
                    <w:t>控制要求</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18"/>
                    </w:rPr>
                    <w:t>全自动运行，可手自动运行切换</w:t>
                  </w:r>
                </w:p>
              </w:tc>
            </w:tr>
          </w:tbl>
          <w:p>
            <w:pPr>
              <w:pStyle w:val="null3"/>
              <w:jc w:val="center"/>
            </w:pPr>
            <w:r>
              <w:rPr>
                <w:rFonts w:ascii="仿宋_GB2312" w:hAnsi="仿宋_GB2312" w:cs="仿宋_GB2312" w:eastAsia="仿宋_GB2312"/>
                <w:sz w:val="18"/>
                <w:b/>
              </w:rPr>
              <w:t>2</w:t>
            </w:r>
            <w:r>
              <w:rPr>
                <w:rFonts w:ascii="仿宋_GB2312" w:hAnsi="仿宋_GB2312" w:cs="仿宋_GB2312" w:eastAsia="仿宋_GB2312"/>
                <w:sz w:val="18"/>
                <w:b/>
              </w:rPr>
              <w:t>、技术服务要求</w:t>
            </w:r>
          </w:p>
          <w:p>
            <w:pPr>
              <w:pStyle w:val="null3"/>
              <w:ind w:firstLine="480"/>
              <w:jc w:val="both"/>
            </w:pPr>
            <w:r>
              <w:rPr>
                <w:rFonts w:ascii="仿宋_GB2312" w:hAnsi="仿宋_GB2312" w:cs="仿宋_GB2312" w:eastAsia="仿宋_GB2312"/>
                <w:sz w:val="18"/>
              </w:rPr>
              <w:t>一）运行处理要求</w:t>
            </w:r>
          </w:p>
          <w:p>
            <w:pPr>
              <w:pStyle w:val="null3"/>
              <w:ind w:firstLine="480"/>
              <w:jc w:val="both"/>
            </w:pPr>
            <w:r>
              <w:rPr>
                <w:rFonts w:ascii="仿宋_GB2312" w:hAnsi="仿宋_GB2312" w:cs="仿宋_GB2312" w:eastAsia="仿宋_GB2312"/>
                <w:sz w:val="18"/>
              </w:rPr>
              <w:t>1、污水处理站设备、设施的正常运行、日常维护与保养等，有效地提高污水处理站的运行效率，降低经济投资风险，环保风险，使污水处理站有效的稳定运行；</w:t>
            </w:r>
          </w:p>
          <w:p>
            <w:pPr>
              <w:pStyle w:val="null3"/>
              <w:ind w:firstLine="480"/>
              <w:jc w:val="both"/>
            </w:pPr>
            <w:r>
              <w:rPr>
                <w:rFonts w:ascii="仿宋_GB2312" w:hAnsi="仿宋_GB2312" w:cs="仿宋_GB2312" w:eastAsia="仿宋_GB2312"/>
                <w:sz w:val="18"/>
              </w:rPr>
              <w:t>2、负责院区医疗污水、废水的集中处理，确保污水排放水质符合《医疗机构水污染物排放标准》（GB18466-2005）预处理标准要求，医疗污泥采取切实可行的方式进行处置并交由有资质的第三方按规范处理，污水处理站周边大气及噪声符合相关标准。</w:t>
            </w:r>
          </w:p>
          <w:p>
            <w:pPr>
              <w:pStyle w:val="null3"/>
              <w:ind w:firstLine="480"/>
              <w:jc w:val="both"/>
            </w:pPr>
            <w:r>
              <w:rPr>
                <w:rFonts w:ascii="仿宋_GB2312" w:hAnsi="仿宋_GB2312" w:cs="仿宋_GB2312" w:eastAsia="仿宋_GB2312"/>
                <w:sz w:val="18"/>
              </w:rPr>
              <w:t>3、服从环保部门及医院的监督管理，按照我院排污许可证副本中对排污单位自行监测要求内容，进行相应监测和检测并出具合格报告。</w:t>
            </w:r>
          </w:p>
          <w:p>
            <w:pPr>
              <w:pStyle w:val="null3"/>
              <w:ind w:firstLine="480"/>
              <w:jc w:val="both"/>
            </w:pPr>
            <w:r>
              <w:rPr>
                <w:rFonts w:ascii="仿宋_GB2312" w:hAnsi="仿宋_GB2312" w:cs="仿宋_GB2312" w:eastAsia="仿宋_GB2312"/>
                <w:sz w:val="18"/>
              </w:rPr>
              <w:t>4、每天专人进行污水处理，填写污水处理站运行情况记录表，按月报送医院存档；按照环保部门、医院各职能部门的要求上报和汇总数据材料。</w:t>
            </w:r>
          </w:p>
          <w:p>
            <w:pPr>
              <w:pStyle w:val="null3"/>
              <w:ind w:firstLine="480"/>
              <w:jc w:val="both"/>
            </w:pPr>
            <w:r>
              <w:rPr>
                <w:rFonts w:ascii="仿宋_GB2312" w:hAnsi="仿宋_GB2312" w:cs="仿宋_GB2312" w:eastAsia="仿宋_GB2312"/>
                <w:sz w:val="18"/>
              </w:rPr>
              <w:t>5、承包方自行采购合格的消毒用品、自行监测试剂、各类预防和防护用品、用具、及化验检测设备、维修维护设备等，做好相应的保管及使用，确保项目运行中各环节的安全。</w:t>
            </w:r>
          </w:p>
          <w:p>
            <w:pPr>
              <w:pStyle w:val="null3"/>
              <w:ind w:firstLine="480"/>
              <w:jc w:val="both"/>
            </w:pPr>
            <w:r>
              <w:rPr>
                <w:rFonts w:ascii="仿宋_GB2312" w:hAnsi="仿宋_GB2312" w:cs="仿宋_GB2312" w:eastAsia="仿宋_GB2312"/>
                <w:sz w:val="18"/>
              </w:rPr>
              <w:t>（二）设备管理及维护要求：</w:t>
            </w:r>
          </w:p>
          <w:p>
            <w:pPr>
              <w:pStyle w:val="null3"/>
              <w:ind w:firstLine="480"/>
              <w:jc w:val="both"/>
            </w:pPr>
            <w:r>
              <w:rPr>
                <w:rFonts w:ascii="仿宋_GB2312" w:hAnsi="仿宋_GB2312" w:cs="仿宋_GB2312" w:eastAsia="仿宋_GB2312"/>
                <w:sz w:val="18"/>
              </w:rPr>
              <w:t>1、设备管理</w:t>
            </w:r>
          </w:p>
          <w:p>
            <w:pPr>
              <w:pStyle w:val="null3"/>
              <w:ind w:firstLine="480"/>
              <w:jc w:val="both"/>
            </w:pPr>
            <w:r>
              <w:rPr>
                <w:rFonts w:ascii="仿宋_GB2312" w:hAnsi="仿宋_GB2312" w:cs="仿宋_GB2312" w:eastAsia="仿宋_GB2312"/>
                <w:sz w:val="18"/>
              </w:rPr>
              <w:t>1.1 使用好设备，各种设备都要有操作规程，规定操作步骤。设备操作规程主要根据设备制造厂的说明书和现场情况而制定。操作人员必须严格按照操作规程进行操作，同时做好工况记录。</w:t>
            </w:r>
          </w:p>
          <w:p>
            <w:pPr>
              <w:pStyle w:val="null3"/>
              <w:ind w:firstLine="480"/>
              <w:jc w:val="both"/>
            </w:pPr>
            <w:r>
              <w:rPr>
                <w:rFonts w:ascii="仿宋_GB2312" w:hAnsi="仿宋_GB2312" w:cs="仿宋_GB2312" w:eastAsia="仿宋_GB2312"/>
                <w:sz w:val="18"/>
              </w:rPr>
              <w:t>1.2 保养好设备，各种设备都应制订保养计划，保养计划根据设备制造厂的说明书和现场情况结合而制定。保养计划中包括进行清洁、调整、紧固、润滑和防腐等内容。保养工作同样应作记录。保养分为：例行保养、定期保养、停放保养、换季保养。</w:t>
            </w:r>
          </w:p>
          <w:p>
            <w:pPr>
              <w:pStyle w:val="null3"/>
              <w:ind w:firstLine="480"/>
              <w:jc w:val="both"/>
            </w:pPr>
            <w:r>
              <w:rPr>
                <w:rFonts w:ascii="仿宋_GB2312" w:hAnsi="仿宋_GB2312" w:cs="仿宋_GB2312" w:eastAsia="仿宋_GB2312"/>
                <w:sz w:val="18"/>
              </w:rPr>
              <w:t>1.3 检修好设备，对主要设备应制订设备检修标准和计划，通过检修，恢复技术性能。有些设备，要明确大、中、小修界限，分工落实。对主要设备必须明确检修周期，实行定期检修。对常规修理，应制订检修工料定额，以降低检修成本。每次检修都应作详细记录。</w:t>
            </w:r>
          </w:p>
          <w:p>
            <w:pPr>
              <w:pStyle w:val="null3"/>
              <w:ind w:firstLine="480"/>
              <w:jc w:val="both"/>
            </w:pPr>
            <w:r>
              <w:rPr>
                <w:rFonts w:ascii="仿宋_GB2312" w:hAnsi="仿宋_GB2312" w:cs="仿宋_GB2312" w:eastAsia="仿宋_GB2312"/>
                <w:sz w:val="18"/>
              </w:rPr>
              <w:t>1.4 管理好设备，管理好设备是指从设备购置、安装、调试、验收、使用、保养、检修直到报废以及更新全过程的管理工作。</w:t>
            </w:r>
          </w:p>
          <w:p>
            <w:pPr>
              <w:pStyle w:val="null3"/>
              <w:ind w:firstLine="480"/>
              <w:jc w:val="both"/>
            </w:pPr>
            <w:r>
              <w:rPr>
                <w:rFonts w:ascii="仿宋_GB2312" w:hAnsi="仿宋_GB2312" w:cs="仿宋_GB2312" w:eastAsia="仿宋_GB2312"/>
                <w:sz w:val="18"/>
              </w:rPr>
              <w:t>2、设备的完好标准和修理周期</w:t>
            </w:r>
          </w:p>
          <w:p>
            <w:pPr>
              <w:pStyle w:val="null3"/>
              <w:ind w:firstLine="480"/>
              <w:jc w:val="both"/>
            </w:pPr>
            <w:r>
              <w:rPr>
                <w:rFonts w:ascii="仿宋_GB2312" w:hAnsi="仿宋_GB2312" w:cs="仿宋_GB2312" w:eastAsia="仿宋_GB2312"/>
                <w:sz w:val="18"/>
              </w:rPr>
              <w:t>2.1 制定设备的完好标准和修理周期，污水处理站设备的完好程度是衡量污水处理站管理水平的重要方面。以下列标准作为完好标准：</w:t>
            </w:r>
          </w:p>
          <w:p>
            <w:pPr>
              <w:pStyle w:val="null3"/>
              <w:ind w:firstLine="480"/>
              <w:jc w:val="both"/>
            </w:pPr>
            <w:r>
              <w:rPr>
                <w:rFonts w:ascii="仿宋_GB2312" w:hAnsi="仿宋_GB2312" w:cs="仿宋_GB2312" w:eastAsia="仿宋_GB2312"/>
                <w:sz w:val="18"/>
              </w:rPr>
              <w:t>2.1.1、设备性能良好，各主要技术性能达到原设计或最低限度应满足污水处理生产工艺要求。</w:t>
            </w:r>
          </w:p>
          <w:p>
            <w:pPr>
              <w:pStyle w:val="null3"/>
              <w:ind w:firstLine="480"/>
              <w:jc w:val="both"/>
            </w:pPr>
            <w:r>
              <w:rPr>
                <w:rFonts w:ascii="仿宋_GB2312" w:hAnsi="仿宋_GB2312" w:cs="仿宋_GB2312" w:eastAsia="仿宋_GB2312"/>
                <w:sz w:val="18"/>
              </w:rPr>
              <w:t>2.1.2、操作控制的安全系统装置齐全、动作灵敏可靠。</w:t>
            </w:r>
          </w:p>
          <w:p>
            <w:pPr>
              <w:pStyle w:val="null3"/>
              <w:ind w:firstLine="480"/>
              <w:jc w:val="both"/>
            </w:pPr>
            <w:r>
              <w:rPr>
                <w:rFonts w:ascii="仿宋_GB2312" w:hAnsi="仿宋_GB2312" w:cs="仿宋_GB2312" w:eastAsia="仿宋_GB2312"/>
                <w:sz w:val="18"/>
              </w:rPr>
              <w:t>2.1.3、运行稳定，无异常振动和噪音。</w:t>
            </w:r>
          </w:p>
          <w:p>
            <w:pPr>
              <w:pStyle w:val="null3"/>
              <w:ind w:firstLine="480"/>
              <w:jc w:val="both"/>
            </w:pPr>
            <w:r>
              <w:rPr>
                <w:rFonts w:ascii="仿宋_GB2312" w:hAnsi="仿宋_GB2312" w:cs="仿宋_GB2312" w:eastAsia="仿宋_GB2312"/>
                <w:sz w:val="18"/>
              </w:rPr>
              <w:t>2.1.4、电器设备的绝缘程度和安全防护装置应符合电器安全规程。</w:t>
            </w:r>
          </w:p>
          <w:p>
            <w:pPr>
              <w:pStyle w:val="null3"/>
              <w:ind w:firstLine="480"/>
              <w:jc w:val="both"/>
            </w:pPr>
            <w:r>
              <w:rPr>
                <w:rFonts w:ascii="仿宋_GB2312" w:hAnsi="仿宋_GB2312" w:cs="仿宋_GB2312" w:eastAsia="仿宋_GB2312"/>
                <w:sz w:val="18"/>
              </w:rPr>
              <w:t>2.1.5、设备的通风、散热和冷却、隔音系统齐全完整，效果良好，温升在额定范围内。</w:t>
            </w:r>
          </w:p>
          <w:p>
            <w:pPr>
              <w:pStyle w:val="null3"/>
              <w:ind w:firstLine="480"/>
              <w:jc w:val="both"/>
            </w:pPr>
            <w:r>
              <w:rPr>
                <w:rFonts w:ascii="仿宋_GB2312" w:hAnsi="仿宋_GB2312" w:cs="仿宋_GB2312" w:eastAsia="仿宋_GB2312"/>
                <w:sz w:val="18"/>
              </w:rPr>
              <w:t>2.1.6、设备内外整洁，润滑良好，无泄露。</w:t>
            </w:r>
          </w:p>
          <w:p>
            <w:pPr>
              <w:pStyle w:val="null3"/>
              <w:ind w:firstLine="480"/>
              <w:jc w:val="both"/>
            </w:pPr>
            <w:r>
              <w:rPr>
                <w:rFonts w:ascii="仿宋_GB2312" w:hAnsi="仿宋_GB2312" w:cs="仿宋_GB2312" w:eastAsia="仿宋_GB2312"/>
                <w:sz w:val="18"/>
              </w:rPr>
              <w:t>2.1.7、运转记录，技术资料齐全。</w:t>
            </w:r>
          </w:p>
          <w:p>
            <w:pPr>
              <w:pStyle w:val="null3"/>
              <w:ind w:firstLine="480"/>
              <w:jc w:val="both"/>
            </w:pPr>
            <w:r>
              <w:rPr>
                <w:rFonts w:ascii="仿宋_GB2312" w:hAnsi="仿宋_GB2312" w:cs="仿宋_GB2312" w:eastAsia="仿宋_GB2312"/>
                <w:sz w:val="18"/>
              </w:rPr>
              <w:t>2.2 设备使用一段时间以后，必须进行小修、中修或大修。有些设备，制造厂明确规定了它的小修、大修期限；有的设备没有明确规定，那就必须根据设备的复杂性、易损零部件的耐用度以及本站的保养条件确定修理周期。修理周期是指设备的两次修理之间的工作时间，污水处理厂设备的大修周期应根据具体设备使用手册决定。</w:t>
            </w:r>
          </w:p>
          <w:p>
            <w:pPr>
              <w:pStyle w:val="null3"/>
              <w:ind w:firstLine="480"/>
              <w:jc w:val="both"/>
            </w:pPr>
            <w:r>
              <w:rPr>
                <w:rFonts w:ascii="仿宋_GB2312" w:hAnsi="仿宋_GB2312" w:cs="仿宋_GB2312" w:eastAsia="仿宋_GB2312"/>
                <w:sz w:val="18"/>
              </w:rPr>
              <w:t>3、建立完善的设备档案</w:t>
            </w:r>
          </w:p>
          <w:p>
            <w:pPr>
              <w:pStyle w:val="null3"/>
              <w:ind w:firstLine="480"/>
              <w:jc w:val="both"/>
            </w:pPr>
            <w:r>
              <w:rPr>
                <w:rFonts w:ascii="仿宋_GB2312" w:hAnsi="仿宋_GB2312" w:cs="仿宋_GB2312" w:eastAsia="仿宋_GB2312"/>
                <w:sz w:val="18"/>
              </w:rPr>
              <w:t>设备档案包括技术资料、运行记录、维修记录三个部分。</w:t>
            </w:r>
          </w:p>
          <w:p>
            <w:pPr>
              <w:pStyle w:val="null3"/>
              <w:ind w:firstLine="480"/>
              <w:jc w:val="both"/>
            </w:pPr>
            <w:r>
              <w:rPr>
                <w:rFonts w:ascii="仿宋_GB2312" w:hAnsi="仿宋_GB2312" w:cs="仿宋_GB2312" w:eastAsia="仿宋_GB2312"/>
                <w:sz w:val="18"/>
              </w:rPr>
              <w:t>第一部分是设备的说明书、图纸资料、出厂合格证明、安装记录、安装及试运行阶段的修改洽谈记录、验收记录等。</w:t>
            </w:r>
          </w:p>
          <w:p>
            <w:pPr>
              <w:pStyle w:val="null3"/>
              <w:ind w:firstLine="480"/>
              <w:jc w:val="both"/>
            </w:pPr>
            <w:r>
              <w:rPr>
                <w:rFonts w:ascii="仿宋_GB2312" w:hAnsi="仿宋_GB2312" w:cs="仿宋_GB2312" w:eastAsia="仿宋_GB2312"/>
                <w:sz w:val="18"/>
              </w:rPr>
              <w:t>第二部分档案是对设备每日运行状况的记录，由运行操作人员填写。如每台设备的每日运行时间、运行状况、累计运行时间，每次加油的时间，加油部位、品种、数量，故障发生的时间及详细情况，易损件的更换情况等。</w:t>
            </w:r>
          </w:p>
          <w:p>
            <w:pPr>
              <w:pStyle w:val="null3"/>
              <w:ind w:firstLine="480"/>
              <w:jc w:val="both"/>
            </w:pPr>
            <w:r>
              <w:rPr>
                <w:rFonts w:ascii="仿宋_GB2312" w:hAnsi="仿宋_GB2312" w:cs="仿宋_GB2312" w:eastAsia="仿宋_GB2312"/>
                <w:sz w:val="18"/>
              </w:rPr>
              <w:t>第三部分是设备维修档案，包括大、中修的时间，维修中发现的问题、处理方法等。由维修人员及设备管理技术人员填写。设备使用一段时间以后，必须进行小修、中修或大修。根据以上三部分档案，设备管理技术人员可对设备运行状况和事故进行综合分析，据此对下一步维修保养提出要求。可以此为依据制定出设备维修计划或设备更新计划。</w:t>
            </w:r>
          </w:p>
          <w:p>
            <w:pPr>
              <w:pStyle w:val="null3"/>
              <w:ind w:firstLine="480"/>
              <w:jc w:val="both"/>
            </w:pPr>
            <w:r>
              <w:rPr>
                <w:rFonts w:ascii="仿宋_GB2312" w:hAnsi="仿宋_GB2312" w:cs="仿宋_GB2312" w:eastAsia="仿宋_GB2312"/>
                <w:sz w:val="18"/>
              </w:rPr>
              <w:t>4、做好设备的现场巡回检查污水处理厂的大型工艺设备分布分散，且大部分处于露天或者半露天位置，因此建立并严格地执行巡回检查制度就显得格外重要。在控制室，对设备实现远距离监控的同时，对全厂设备实行 2 小时现场巡回检查一次，通过巡查及时发现设备有异常情况，如卡死、异常声响、堵塞、异常发热等，及时停机采取措施，承包方应在 1 小时内解决问题。对工艺设备的安全运行必须提前预见可能出现的灾害性天气，及时采取预防措施。如雨雪即将来临时，应着重检查设备的防雨措施，特别是电器、油箱、齿轮箱是否可能进水；冬季即将来临时，应检查防冻措施。雨雪后应及时清除设备及行走路线上的积水，配电箱、集电环条、变速箱、控制箱、液压油箱内如不慎进水应及时采取措施。以确保设备保持长期、稳定、正常的运行，设备各运转部位处于良好的润滑状态。</w:t>
            </w:r>
          </w:p>
          <w:p>
            <w:pPr>
              <w:pStyle w:val="null3"/>
              <w:ind w:firstLine="480"/>
              <w:jc w:val="both"/>
            </w:pPr>
            <w:r>
              <w:rPr>
                <w:rFonts w:ascii="仿宋_GB2312" w:hAnsi="仿宋_GB2312" w:cs="仿宋_GB2312" w:eastAsia="仿宋_GB2312"/>
                <w:sz w:val="18"/>
              </w:rPr>
              <w:t>5、做好设备的日常维护与保养制定设备全年维护、保养、检修计划，并按期进行检修保养，单处或单个零配件产生的材料和人工费、维修费用 500 元以内由全部承包方承担。若产生500元以上的费用则由采购人承担。</w:t>
            </w:r>
          </w:p>
          <w:p>
            <w:pPr>
              <w:pStyle w:val="null3"/>
              <w:ind w:firstLine="480"/>
              <w:jc w:val="both"/>
            </w:pPr>
            <w:r>
              <w:rPr>
                <w:rFonts w:ascii="仿宋_GB2312" w:hAnsi="仿宋_GB2312" w:cs="仿宋_GB2312" w:eastAsia="仿宋_GB2312"/>
                <w:sz w:val="18"/>
              </w:rPr>
              <w:t>（三）人员配置及管理制度</w:t>
            </w:r>
          </w:p>
          <w:p>
            <w:pPr>
              <w:pStyle w:val="null3"/>
              <w:ind w:firstLine="480"/>
              <w:jc w:val="both"/>
            </w:pPr>
            <w:r>
              <w:rPr>
                <w:rFonts w:ascii="仿宋_GB2312" w:hAnsi="仿宋_GB2312" w:cs="仿宋_GB2312" w:eastAsia="仿宋_GB2312"/>
                <w:sz w:val="18"/>
              </w:rPr>
              <w:t>1、为确保污水处理站安全平稳运行，第三方运营公司须按照以下原则进行人员配置：</w:t>
            </w:r>
          </w:p>
          <w:p>
            <w:pPr>
              <w:pStyle w:val="null3"/>
              <w:ind w:firstLine="480"/>
              <w:jc w:val="both"/>
            </w:pPr>
            <w:r>
              <w:rPr>
                <w:rFonts w:ascii="仿宋_GB2312" w:hAnsi="仿宋_GB2312" w:cs="仿宋_GB2312" w:eastAsia="仿宋_GB2312"/>
                <w:sz w:val="18"/>
              </w:rPr>
              <w:t>1.1 站区要求 24 小时有人值守，人员总数不少于 5 人，日常工作每班配备人员2人；</w:t>
            </w:r>
          </w:p>
          <w:p>
            <w:pPr>
              <w:pStyle w:val="null3"/>
              <w:ind w:firstLine="480"/>
              <w:jc w:val="both"/>
            </w:pPr>
            <w:r>
              <w:rPr>
                <w:rFonts w:ascii="仿宋_GB2312" w:hAnsi="仿宋_GB2312" w:cs="仿宋_GB2312" w:eastAsia="仿宋_GB2312"/>
                <w:sz w:val="18"/>
              </w:rPr>
              <w:t>2、技术培训要求</w:t>
            </w:r>
          </w:p>
          <w:p>
            <w:pPr>
              <w:pStyle w:val="null3"/>
              <w:ind w:firstLine="480"/>
              <w:jc w:val="both"/>
            </w:pPr>
            <w:r>
              <w:rPr>
                <w:rFonts w:ascii="仿宋_GB2312" w:hAnsi="仿宋_GB2312" w:cs="仿宋_GB2312" w:eastAsia="仿宋_GB2312"/>
                <w:sz w:val="18"/>
              </w:rPr>
              <w:t>2.1 承包方应组织对运行维护管理人员进行技术培训，使其了解处理工艺，熟悉本岗位设施、设备的运行要求和技术指标，熟悉掌握本岗位工作技能。</w:t>
            </w:r>
          </w:p>
          <w:p>
            <w:pPr>
              <w:pStyle w:val="null3"/>
              <w:ind w:firstLine="480"/>
              <w:jc w:val="both"/>
            </w:pPr>
            <w:r>
              <w:rPr>
                <w:rFonts w:ascii="仿宋_GB2312" w:hAnsi="仿宋_GB2312" w:cs="仿宋_GB2312" w:eastAsia="仿宋_GB2312"/>
                <w:sz w:val="18"/>
              </w:rPr>
              <w:t>2.2 培训内容包括：污水处理基本理论、水污染控制法规与标准、污水处理机电设备、污水处理站自动化控制的基本知识、污水处理站的管理制度和操作规程、各工种的专业培训等。</w:t>
            </w:r>
          </w:p>
          <w:p>
            <w:pPr>
              <w:pStyle w:val="null3"/>
              <w:ind w:firstLine="480"/>
              <w:jc w:val="both"/>
            </w:pPr>
            <w:r>
              <w:rPr>
                <w:rFonts w:ascii="仿宋_GB2312" w:hAnsi="仿宋_GB2312" w:cs="仿宋_GB2312" w:eastAsia="仿宋_GB2312"/>
                <w:sz w:val="18"/>
              </w:rPr>
              <w:t>2.3 在运行维护管理过程中，承包方应不定期的对运行维护管理人员进行培训，使其掌握新的专业知识和技能。</w:t>
            </w:r>
          </w:p>
          <w:p>
            <w:pPr>
              <w:pStyle w:val="null3"/>
              <w:ind w:firstLine="480"/>
              <w:jc w:val="both"/>
            </w:pPr>
            <w:r>
              <w:rPr>
                <w:rFonts w:ascii="仿宋_GB2312" w:hAnsi="仿宋_GB2312" w:cs="仿宋_GB2312" w:eastAsia="仿宋_GB2312"/>
                <w:sz w:val="18"/>
              </w:rPr>
              <w:t>3、制度要求</w:t>
            </w:r>
          </w:p>
          <w:p>
            <w:pPr>
              <w:pStyle w:val="null3"/>
              <w:ind w:firstLine="480"/>
              <w:jc w:val="both"/>
            </w:pPr>
            <w:r>
              <w:rPr>
                <w:rFonts w:ascii="仿宋_GB2312" w:hAnsi="仿宋_GB2312" w:cs="仿宋_GB2312" w:eastAsia="仿宋_GB2312"/>
                <w:sz w:val="18"/>
              </w:rPr>
              <w:t>3.1 承包方应制定相关管理办法及考核标准，根据采购人管理办法制定具体的管理制度、相关岗位工作职责、运行维护管理制度、操作规程、安全规程、纪律规范等，组织协调好日常运行管理工作，确保运行管理服务工作高质量完成。</w:t>
            </w:r>
          </w:p>
          <w:p>
            <w:pPr>
              <w:pStyle w:val="null3"/>
              <w:ind w:firstLine="480"/>
              <w:jc w:val="both"/>
            </w:pPr>
            <w:r>
              <w:rPr>
                <w:rFonts w:ascii="仿宋_GB2312" w:hAnsi="仿宋_GB2312" w:cs="仿宋_GB2312" w:eastAsia="仿宋_GB2312"/>
                <w:sz w:val="18"/>
              </w:rPr>
              <w:t>3.2 承包方应建立运营期间各类紧急情况下的应急预案，以应对和处理各种突发事件如战争、自然灾害、疫情、涉及发生危害周边设施财产、生态环境及人员生命的公共安全事故等。</w:t>
            </w:r>
          </w:p>
          <w:p>
            <w:pPr>
              <w:pStyle w:val="null3"/>
              <w:ind w:firstLine="480"/>
              <w:jc w:val="both"/>
            </w:pPr>
            <w:r>
              <w:rPr>
                <w:rFonts w:ascii="仿宋_GB2312" w:hAnsi="仿宋_GB2312" w:cs="仿宋_GB2312" w:eastAsia="仿宋_GB2312"/>
                <w:sz w:val="18"/>
              </w:rPr>
              <w:t>（四）安全防护、文明运行的要求</w:t>
            </w:r>
          </w:p>
          <w:p>
            <w:pPr>
              <w:pStyle w:val="null3"/>
              <w:ind w:firstLine="480"/>
              <w:jc w:val="both"/>
            </w:pPr>
            <w:r>
              <w:rPr>
                <w:rFonts w:ascii="仿宋_GB2312" w:hAnsi="仿宋_GB2312" w:cs="仿宋_GB2312" w:eastAsia="仿宋_GB2312"/>
                <w:sz w:val="18"/>
              </w:rPr>
              <w:t>1、承包方必须落实安全生产措施，按采购人以及有关部门的要求，维护作业人员上岗前必须进行安全教育和技术培训，为上岗工人配置统一的工作服和安全防护用品，自行解决安全作业问题。</w:t>
            </w:r>
          </w:p>
          <w:p>
            <w:pPr>
              <w:pStyle w:val="null3"/>
              <w:ind w:firstLine="480"/>
              <w:jc w:val="both"/>
            </w:pPr>
            <w:r>
              <w:rPr>
                <w:rFonts w:ascii="仿宋_GB2312" w:hAnsi="仿宋_GB2312" w:cs="仿宋_GB2312" w:eastAsia="仿宋_GB2312"/>
                <w:sz w:val="18"/>
              </w:rPr>
              <w:t>2、承包方应按实际上岗人数自行到有关部门申办有关用工手续，为员工劳动购买保险手续和办理暂住证等手续，安排好下属人员的住宿和安全教育管理工作。</w:t>
            </w:r>
          </w:p>
          <w:p>
            <w:pPr>
              <w:pStyle w:val="null3"/>
              <w:ind w:firstLine="480"/>
              <w:jc w:val="both"/>
            </w:pPr>
            <w:r>
              <w:rPr>
                <w:rFonts w:ascii="仿宋_GB2312" w:hAnsi="仿宋_GB2312" w:cs="仿宋_GB2312" w:eastAsia="仿宋_GB2312"/>
                <w:sz w:val="18"/>
              </w:rPr>
              <w:t>3、本项目用电未经采购人以及有关部门的同意，承包方不得擅自改变原供电线路和接线路挪作他用。</w:t>
            </w:r>
          </w:p>
          <w:p>
            <w:pPr>
              <w:pStyle w:val="null3"/>
              <w:ind w:firstLine="480"/>
              <w:jc w:val="both"/>
            </w:pPr>
            <w:r>
              <w:rPr>
                <w:rFonts w:ascii="仿宋_GB2312" w:hAnsi="仿宋_GB2312" w:cs="仿宋_GB2312" w:eastAsia="仿宋_GB2312"/>
                <w:sz w:val="18"/>
              </w:rPr>
              <w:t>4、承包方按要求定期进行安全隐患排查工作，杜绝任何用电设施发生漏电现象，确保安全、正常运行。</w:t>
            </w:r>
          </w:p>
          <w:p>
            <w:pPr>
              <w:pStyle w:val="null3"/>
              <w:ind w:firstLine="480"/>
              <w:jc w:val="both"/>
            </w:pPr>
            <w:r>
              <w:rPr>
                <w:rFonts w:ascii="仿宋_GB2312" w:hAnsi="仿宋_GB2312" w:cs="仿宋_GB2312" w:eastAsia="仿宋_GB2312"/>
                <w:sz w:val="18"/>
              </w:rPr>
              <w:t>5、承包方在检查维护水泵、闸阀门、管道、集水池等设备设施时，必须采取防硫化氢等有毒有害气体的安全措施。</w:t>
            </w:r>
          </w:p>
          <w:p>
            <w:pPr>
              <w:pStyle w:val="null3"/>
              <w:ind w:firstLine="480"/>
              <w:jc w:val="both"/>
            </w:pPr>
            <w:r>
              <w:rPr>
                <w:rFonts w:ascii="仿宋_GB2312" w:hAnsi="仿宋_GB2312" w:cs="仿宋_GB2312" w:eastAsia="仿宋_GB2312"/>
                <w:sz w:val="18"/>
              </w:rPr>
              <w:t>6、承包方做好安全标示、防护等工作，确保人员安全。</w:t>
            </w:r>
          </w:p>
          <w:p>
            <w:pPr>
              <w:pStyle w:val="null3"/>
              <w:ind w:firstLine="480"/>
              <w:jc w:val="both"/>
            </w:pPr>
            <w:r>
              <w:rPr>
                <w:rFonts w:ascii="仿宋_GB2312" w:hAnsi="仿宋_GB2312" w:cs="仿宋_GB2312" w:eastAsia="仿宋_GB2312"/>
                <w:sz w:val="18"/>
              </w:rPr>
              <w:t>7、安全生产：承包方应按照国家及地方有关安全生产的法律、法规制定安全生产规章制度和措施，制定应急预案，建立安全生产教育和检查机构，并定期向我院汇报，接受检查并按照我院的意见进行整改。</w:t>
            </w:r>
          </w:p>
          <w:p>
            <w:pPr>
              <w:pStyle w:val="null3"/>
              <w:ind w:firstLine="480"/>
              <w:jc w:val="both"/>
            </w:pPr>
            <w:r>
              <w:rPr>
                <w:rFonts w:ascii="仿宋_GB2312" w:hAnsi="仿宋_GB2312" w:cs="仿宋_GB2312" w:eastAsia="仿宋_GB2312"/>
                <w:sz w:val="18"/>
              </w:rPr>
              <w:t>8、本项目的安全生产责任由承包方承担。</w:t>
            </w:r>
          </w:p>
          <w:p>
            <w:pPr>
              <w:pStyle w:val="null3"/>
              <w:ind w:firstLine="482"/>
              <w:jc w:val="both"/>
            </w:pPr>
            <w:r>
              <w:rPr>
                <w:rFonts w:ascii="仿宋_GB2312" w:hAnsi="仿宋_GB2312" w:cs="仿宋_GB2312" w:eastAsia="仿宋_GB2312"/>
                <w:sz w:val="18"/>
                <w:b/>
              </w:rPr>
              <w:t>3、运行服务要求</w:t>
            </w:r>
          </w:p>
          <w:p>
            <w:pPr>
              <w:pStyle w:val="null3"/>
              <w:ind w:firstLine="480"/>
              <w:jc w:val="both"/>
            </w:pPr>
            <w:r>
              <w:rPr>
                <w:rFonts w:ascii="仿宋_GB2312" w:hAnsi="仿宋_GB2312" w:cs="仿宋_GB2312" w:eastAsia="仿宋_GB2312"/>
                <w:sz w:val="18"/>
              </w:rPr>
              <w:t>3.1 在污水处理设备运营期内，供应商确保设备的正常使用，采购人按综合楼污水处理站确保污水排放水质符合《医疗机构水污染物排放标准》（GB18466-2005）表2预处理标准要求，感染楼污水处理站确保污水排放水质符合《医疗机构水污染物排放标准》（GB18466-2005）表1排放标准限值要求，委托第三方检测机构对处理后的污水水质进行检测。</w:t>
            </w:r>
          </w:p>
          <w:p>
            <w:pPr>
              <w:pStyle w:val="null3"/>
              <w:ind w:firstLine="480"/>
              <w:jc w:val="both"/>
            </w:pPr>
            <w:r>
              <w:rPr>
                <w:rFonts w:ascii="仿宋_GB2312" w:hAnsi="仿宋_GB2312" w:cs="仿宋_GB2312" w:eastAsia="仿宋_GB2312"/>
                <w:sz w:val="18"/>
              </w:rPr>
              <w:t>3.2 在服务期间，如因供应商管理、操作或经营不善等原因造成的人员安全事故、环境安全事故等一系列安全事故问题，均由供应商自行承担。</w:t>
            </w:r>
          </w:p>
          <w:p>
            <w:pPr>
              <w:pStyle w:val="null3"/>
              <w:ind w:firstLine="482"/>
            </w:pPr>
            <w:r>
              <w:rPr>
                <w:rFonts w:ascii="仿宋_GB2312" w:hAnsi="仿宋_GB2312" w:cs="仿宋_GB2312" w:eastAsia="仿宋_GB2312"/>
                <w:sz w:val="18"/>
                <w:b/>
              </w:rPr>
              <w:t>五、商务要求</w:t>
            </w:r>
          </w:p>
          <w:p>
            <w:pPr>
              <w:pStyle w:val="null3"/>
              <w:ind w:firstLine="482"/>
            </w:pPr>
            <w:r>
              <w:rPr>
                <w:rFonts w:ascii="仿宋_GB2312" w:hAnsi="仿宋_GB2312" w:cs="仿宋_GB2312" w:eastAsia="仿宋_GB2312"/>
                <w:sz w:val="18"/>
                <w:b/>
              </w:rPr>
              <w:t>1、报价要求</w:t>
            </w:r>
          </w:p>
          <w:p>
            <w:pPr>
              <w:pStyle w:val="null3"/>
              <w:ind w:firstLine="480"/>
            </w:pPr>
            <w:r>
              <w:rPr>
                <w:rFonts w:ascii="仿宋_GB2312" w:hAnsi="仿宋_GB2312" w:cs="仿宋_GB2312" w:eastAsia="仿宋_GB2312"/>
                <w:sz w:val="18"/>
              </w:rPr>
              <w:t>供应商的报价是供应商响应项目要求的全部工作内容的价格体现，包括供应商完成本项目所需的一切费用。包含但不限于供应商完成本</w:t>
            </w:r>
            <w:r>
              <w:rPr>
                <w:rFonts w:ascii="仿宋_GB2312" w:hAnsi="仿宋_GB2312" w:cs="仿宋_GB2312" w:eastAsia="仿宋_GB2312"/>
                <w:sz w:val="18"/>
              </w:rPr>
              <w:t>项目所投入</w:t>
            </w:r>
            <w:r>
              <w:rPr>
                <w:rFonts w:ascii="仿宋_GB2312" w:hAnsi="仿宋_GB2312" w:cs="仿宋_GB2312" w:eastAsia="仿宋_GB2312"/>
                <w:sz w:val="18"/>
              </w:rPr>
              <w:t>第三</w:t>
            </w:r>
            <w:r>
              <w:rPr>
                <w:rFonts w:ascii="仿宋_GB2312" w:hAnsi="仿宋_GB2312" w:cs="仿宋_GB2312" w:eastAsia="仿宋_GB2312"/>
                <w:sz w:val="18"/>
              </w:rPr>
              <w:t>方</w:t>
            </w:r>
            <w:r>
              <w:rPr>
                <w:rFonts w:ascii="仿宋_GB2312" w:hAnsi="仿宋_GB2312" w:cs="仿宋_GB2312" w:eastAsia="仿宋_GB2312"/>
                <w:sz w:val="18"/>
              </w:rPr>
              <w:t>CMA检测费、</w:t>
            </w:r>
            <w:r>
              <w:rPr>
                <w:rFonts w:ascii="仿宋_GB2312" w:hAnsi="仿宋_GB2312" w:cs="仿宋_GB2312" w:eastAsia="仿宋_GB2312"/>
                <w:sz w:val="18"/>
              </w:rPr>
              <w:t>污泥处置费、药剂费、人员费等所有费用，供应商在报价时应充分考虑其风险，中标后不做调整。</w:t>
            </w:r>
          </w:p>
          <w:p>
            <w:pPr>
              <w:pStyle w:val="null3"/>
              <w:ind w:firstLine="482"/>
            </w:pPr>
            <w:r>
              <w:rPr>
                <w:rFonts w:ascii="仿宋_GB2312" w:hAnsi="仿宋_GB2312" w:cs="仿宋_GB2312" w:eastAsia="仿宋_GB2312"/>
                <w:sz w:val="18"/>
                <w:b/>
              </w:rPr>
              <w:t>2、服务期限</w:t>
            </w:r>
          </w:p>
          <w:p>
            <w:pPr>
              <w:pStyle w:val="null3"/>
              <w:ind w:firstLine="480"/>
            </w:pPr>
            <w:r>
              <w:rPr>
                <w:rFonts w:ascii="仿宋_GB2312" w:hAnsi="仿宋_GB2312" w:cs="仿宋_GB2312" w:eastAsia="仿宋_GB2312"/>
                <w:sz w:val="18"/>
              </w:rPr>
              <w:t>服务期限：自合同签订之日起</w:t>
            </w:r>
            <w:r>
              <w:rPr>
                <w:rFonts w:ascii="仿宋_GB2312" w:hAnsi="仿宋_GB2312" w:cs="仿宋_GB2312" w:eastAsia="仿宋_GB2312"/>
                <w:sz w:val="18"/>
              </w:rPr>
              <w:t>12</w:t>
            </w:r>
            <w:r>
              <w:rPr>
                <w:rFonts w:ascii="仿宋_GB2312" w:hAnsi="仿宋_GB2312" w:cs="仿宋_GB2312" w:eastAsia="仿宋_GB2312"/>
                <w:sz w:val="18"/>
              </w:rPr>
              <w:t>个月</w:t>
            </w:r>
          </w:p>
          <w:p>
            <w:pPr>
              <w:pStyle w:val="null3"/>
              <w:ind w:firstLine="482"/>
            </w:pPr>
            <w:r>
              <w:rPr>
                <w:rFonts w:ascii="仿宋_GB2312" w:hAnsi="仿宋_GB2312" w:cs="仿宋_GB2312" w:eastAsia="仿宋_GB2312"/>
                <w:sz w:val="18"/>
                <w:b/>
              </w:rPr>
              <w:t>3、考核要求</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1）考核：服务期内，由采购方组织每三个月进行一次考核，出具阶段性考核表，可采取且不仅限于以下方式：</w:t>
            </w:r>
          </w:p>
          <w:p>
            <w:pPr>
              <w:pStyle w:val="null3"/>
              <w:ind w:firstLine="480"/>
            </w:pPr>
            <w:r>
              <w:rPr>
                <w:rFonts w:ascii="仿宋_GB2312" w:hAnsi="仿宋_GB2312" w:cs="仿宋_GB2312" w:eastAsia="仿宋_GB2312"/>
                <w:sz w:val="18"/>
              </w:rPr>
              <w:t>①对污水处理系统开展定期检查，主要检查出水情况（应无异味、颜色正常），设备运行、维护、监测记录及污泥堆放处置是否规范；</w:t>
            </w:r>
          </w:p>
          <w:p>
            <w:pPr>
              <w:pStyle w:val="null3"/>
              <w:ind w:firstLine="480"/>
            </w:pPr>
            <w:r>
              <w:rPr>
                <w:rFonts w:ascii="仿宋_GB2312" w:hAnsi="仿宋_GB2312" w:cs="仿宋_GB2312" w:eastAsia="仿宋_GB2312"/>
                <w:sz w:val="18"/>
              </w:rPr>
              <w:t>②每季度对污水处理站出水开展 1 次监督性监测，水质应达到服务要求约定的标准。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1、为确保污水处理站安全平稳运行，第三方运营公司须按照以下原则进行人员配置： 1.1 站区要求 24 小时有人值守，人员总数不少于 5 人，日常工作每班配备人员2人； 2、技术培训要求 2.1 承包方应组织对运行维护管理人员进行技术培训，使其了解处理工艺，熟悉本岗位设施、设备的运行要求和技术指标，熟悉掌握本岗位工作技能。 2.2 培训内容包括：污水处理基本理论、水污染控制法规与标准、污水处理机电设备、污水处理站自动化控制的基本知识、污水处理站的管理制度和操作规程、各工种的专业培训等。 2.3 在运行维护管理过程中，承包方应不定期的对运行维护管理人员进行培训，使其掌握新的专业知识和技能。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依据国家相关标准、规范及有关技术文件进行质量验收及考核；如国家或行业标准发生变化，运维单位根据法律的规定必须执行。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第一季度完成采购需求内容考核通过后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第二季度完成采购需求内容考核通过后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第三季度完成采购需求内容考核通过后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第四季度完成采购需求内容考核通过后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祥见合同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公司控股</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分项报价表.docx 服务内容及服务邀请应答表 供应商应提交的相关资格证明材料.docx 中小企业声明函 残疾人福利性单位声明函 商务应答表 标的清单 报价表 响应函 服务方案说明书docx.docx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响应文件封面 分项报价表.docx 服务内容及服务邀请应答表 供应商应提交的相关资格证明材料.docx 中小企业声明函 残疾人福利性单位声明函 商务应答表 标的清单 报价表 响应函 服务方案说明书docx.docx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是否磋商响应文件要求；</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根据本项目实际编制实施方案，内容须包含：①工艺管理控制 ②设备操作维护保养与检修 ③污泥处置设施管理 ④日常水质监测 ⑤异常问题的分析除等。 方案内容完善，合理性、可行性强，能够有效保证项目的顺利进行和完成得10分；每有一个缺项扣2分，每有一处内容存在缺陷，扣0.5分，扣完为止。未提供不得分。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日常运维方案</w:t>
            </w:r>
          </w:p>
        </w:tc>
        <w:tc>
          <w:tcPr>
            <w:tcW w:type="dxa" w:w="2492"/>
          </w:tcPr>
          <w:p>
            <w:pPr>
              <w:pStyle w:val="null3"/>
            </w:pPr>
            <w:r>
              <w:rPr>
                <w:rFonts w:ascii="仿宋_GB2312" w:hAnsi="仿宋_GB2312" w:cs="仿宋_GB2312" w:eastAsia="仿宋_GB2312"/>
              </w:rPr>
              <w:t>日常运维方案包含①服务内容；②日常维护工作；③故障排除；④例行巡检；⑤定期检修维护；合理可行，能满足日常工作的要求，运维方案内容准确、全面，思路清晰，逻辑严密，符合本项目实际情况及国家、地方相关规范法规要求且具有很强的实施性得10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提供针对本项目的质量控制体系和维护手册，排放标准到达国家相关要求。质量控制措施科学合理、思路技术严谨、能满足本项目服务要求，符合本项目实际情况及国家、地方相关规范法规要求得6分；每有一处内容存在缺陷，扣1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安全生产</w:t>
            </w:r>
          </w:p>
        </w:tc>
        <w:tc>
          <w:tcPr>
            <w:tcW w:type="dxa" w:w="2492"/>
          </w:tcPr>
          <w:p>
            <w:pPr>
              <w:pStyle w:val="null3"/>
            </w:pPr>
            <w:r>
              <w:rPr>
                <w:rFonts w:ascii="仿宋_GB2312" w:hAnsi="仿宋_GB2312" w:cs="仿宋_GB2312" w:eastAsia="仿宋_GB2312"/>
              </w:rPr>
              <w:t>提供针对本项目①安全生产管理制度②安全防范措施等，要求能保障运维服务的稳定和安全，避免环境污染。制度及措施科学合理，符合实际情况的得6分；每有一个缺项扣3分，每有一处内容存在缺陷，扣0.5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对现有工艺运行易出现的问题进行分析，明确现有工艺处理过程中的重点、难点等。分析准确、全面详细，符合实际情况的得6分；每有一处内容存在缺陷，扣1分，扣完为止。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人员配备方案（拟投入本项目人员符合采购需求要求，分工合理，有明确的岗位职责。）包括①组织管理机构人员名单及人员分工安排、职责划分； ②人员协调方案； ③人员培训方案。方案全面，对评审内容中的各项要求有详细阐述得6分；每有一个缺项扣2分，每有一处内容存在缺陷，扣0.5分，扣完为止。未提供不得分。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检修和保养</w:t>
            </w:r>
          </w:p>
        </w:tc>
        <w:tc>
          <w:tcPr>
            <w:tcW w:type="dxa" w:w="2492"/>
          </w:tcPr>
          <w:p>
            <w:pPr>
              <w:pStyle w:val="null3"/>
            </w:pPr>
            <w:r>
              <w:rPr>
                <w:rFonts w:ascii="仿宋_GB2312" w:hAnsi="仿宋_GB2312" w:cs="仿宋_GB2312" w:eastAsia="仿宋_GB2312"/>
              </w:rPr>
              <w:t>对现有工艺处理过程中所涉及设备的①日常检修 ②设备保养 ③运维细则等进行详细阐述，阐述准确、全面详细，符合实际情况，合理可行的得6分；每有一个缺项扣2分，每有一处内容存在缺陷，扣0.5分，扣完为止。未提供不得分。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检测和检验</w:t>
            </w:r>
          </w:p>
        </w:tc>
        <w:tc>
          <w:tcPr>
            <w:tcW w:type="dxa" w:w="2492"/>
          </w:tcPr>
          <w:p>
            <w:pPr>
              <w:pStyle w:val="null3"/>
            </w:pPr>
            <w:r>
              <w:rPr>
                <w:rFonts w:ascii="仿宋_GB2312" w:hAnsi="仿宋_GB2312" w:cs="仿宋_GB2312" w:eastAsia="仿宋_GB2312"/>
              </w:rPr>
              <w:t>提供检测和检验的具体操作流程及操作规范，内容准确、全面，思路清晰，逻辑严密，符合本项目实际情况及国家、地方相关规范法规要求得6分，每有一处内容存在缺陷，扣1分，扣完为止。未提供不得分。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工艺及技术</w:t>
            </w:r>
          </w:p>
        </w:tc>
        <w:tc>
          <w:tcPr>
            <w:tcW w:type="dxa" w:w="2492"/>
          </w:tcPr>
          <w:p>
            <w:pPr>
              <w:pStyle w:val="null3"/>
            </w:pPr>
            <w:r>
              <w:rPr>
                <w:rFonts w:ascii="仿宋_GB2312" w:hAnsi="仿宋_GB2312" w:cs="仿宋_GB2312" w:eastAsia="仿宋_GB2312"/>
              </w:rPr>
              <w:t>对本项目污水处理工艺及技术的了解 (①工作原理 ②工艺流程图 ③步骤及工艺介绍等)。分析准确、全面详细，符合实际情况的得6分；每有一个缺项扣2分，每有一处内容存在缺陷，扣0.5分，扣完为止。未提供不得分。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应急突发预案措施</w:t>
            </w:r>
          </w:p>
        </w:tc>
        <w:tc>
          <w:tcPr>
            <w:tcW w:type="dxa" w:w="2492"/>
          </w:tcPr>
          <w:p>
            <w:pPr>
              <w:pStyle w:val="null3"/>
            </w:pPr>
            <w:r>
              <w:rPr>
                <w:rFonts w:ascii="仿宋_GB2312" w:hAnsi="仿宋_GB2312" w:cs="仿宋_GB2312" w:eastAsia="仿宋_GB2312"/>
              </w:rPr>
              <w:t>针对本项目提供具体可行的后续服务措施承诺以及出现异常问题 (包括但不限进水异常、出水异常等)后及时响应的应急处置方案。内容完善详细可实施性强的得6分；每有一处内容存在缺陷，扣1分，扣完为止。未提供不得分。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健全管理制度</w:t>
            </w:r>
          </w:p>
        </w:tc>
        <w:tc>
          <w:tcPr>
            <w:tcW w:type="dxa" w:w="2492"/>
          </w:tcPr>
          <w:p>
            <w:pPr>
              <w:pStyle w:val="null3"/>
            </w:pPr>
            <w:r>
              <w:rPr>
                <w:rFonts w:ascii="仿宋_GB2312" w:hAnsi="仿宋_GB2312" w:cs="仿宋_GB2312" w:eastAsia="仿宋_GB2312"/>
              </w:rPr>
              <w:t>按照国家相关规定建立健全各项管理制度，包括①设备管理、工艺管理 ②水质管理 ③保密管理、岗位职责等。内容准确、全面，思路清晰，逻辑严密，符合本项目实际情况及国家、地方相关规范法规要求得6分； 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提升改造或优化工艺的合理化建议：提出合理化建议全面、思路清晰、逻辑严密、提供的实施建议方案切实可行得6分；提出合理化建议较全面、实施建议方案较可行得3分；合理化建议存在部分缺陷和不足的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提供2023年1月1日以来供应商的类似业绩证明材料（以合同签订时间为准，附合同复印件加盖投标人公章），每份计2分，满分10分。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服务方案说明书docx.docx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竞争性磋商文件要求且最后磋商报价最低的磋商报价为评审基准价，其价格分为满分。其他供应商的价格分统一按照下列公式计算：投标总报价得分＝（评审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详见附件：服务方案说明书docx.docx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