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color w:val="auto"/>
          <w:highlight w:val="none"/>
        </w:rPr>
      </w:pPr>
      <w:r>
        <w:rPr>
          <w:rFonts w:hint="eastAsia" w:ascii="仿宋" w:hAnsi="仿宋" w:eastAsia="仿宋" w:cs="仿宋"/>
          <w:b/>
          <w:color w:val="auto"/>
          <w:sz w:val="36"/>
          <w:highlight w:val="none"/>
        </w:rPr>
        <w:t>拟签订采购合同文本</w:t>
      </w:r>
    </w:p>
    <w:p>
      <w:pPr>
        <w:pStyle w:val="9"/>
        <w:rPr>
          <w:rFonts w:hint="eastAsia" w:ascii="仿宋" w:hAnsi="仿宋" w:eastAsia="仿宋" w:cs="仿宋"/>
          <w:color w:val="auto"/>
          <w:sz w:val="31"/>
          <w:szCs w:val="31"/>
          <w:highlight w:val="none"/>
        </w:rPr>
      </w:pPr>
      <w:r>
        <w:rPr>
          <w:rFonts w:hint="eastAsia" w:ascii="仿宋" w:hAnsi="仿宋" w:eastAsia="仿宋" w:cs="仿宋"/>
          <w:color w:val="auto"/>
          <w:highlight w:val="none"/>
        </w:rPr>
        <w:t>详见附件：本合同文本仅供参考.docx</w:t>
      </w:r>
    </w:p>
    <w:p>
      <w:pPr>
        <w:spacing w:line="360" w:lineRule="auto"/>
        <w:rPr>
          <w:rFonts w:hint="eastAsia" w:ascii="仿宋" w:hAnsi="仿宋" w:eastAsia="仿宋" w:cs="仿宋"/>
          <w:b/>
          <w:color w:val="auto"/>
          <w:sz w:val="24"/>
          <w:highlight w:val="none"/>
        </w:rPr>
      </w:pPr>
    </w:p>
    <w:p>
      <w:pPr>
        <w:spacing w:line="360" w:lineRule="auto"/>
        <w:jc w:val="center"/>
        <w:rPr>
          <w:rFonts w:hint="eastAsia" w:ascii="仿宋" w:hAnsi="仿宋" w:eastAsia="仿宋" w:cs="仿宋"/>
          <w:b/>
          <w:color w:val="auto"/>
          <w:sz w:val="36"/>
          <w:szCs w:val="36"/>
          <w:highlight w:val="none"/>
        </w:rPr>
      </w:pPr>
    </w:p>
    <w:p>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spacing w:line="360" w:lineRule="auto"/>
        <w:jc w:val="center"/>
        <w:rPr>
          <w:rFonts w:hint="eastAsia" w:ascii="仿宋" w:hAnsi="仿宋" w:eastAsia="仿宋" w:cs="仿宋"/>
          <w:b/>
          <w:color w:val="auto"/>
          <w:sz w:val="52"/>
          <w:szCs w:val="52"/>
          <w:highlight w:val="none"/>
        </w:rPr>
      </w:pPr>
      <w:r>
        <w:rPr>
          <w:rFonts w:hint="eastAsia" w:ascii="仿宋" w:hAnsi="仿宋" w:eastAsia="仿宋" w:cs="仿宋"/>
          <w:b/>
          <w:color w:val="auto"/>
          <w:sz w:val="52"/>
          <w:szCs w:val="52"/>
          <w:highlight w:val="none"/>
        </w:rPr>
        <w:t>周至县人民医院污水处理站运行维护委托第三方运维项目</w:t>
      </w:r>
    </w:p>
    <w:p>
      <w:pPr>
        <w:spacing w:line="360" w:lineRule="auto"/>
        <w:jc w:val="center"/>
        <w:rPr>
          <w:rFonts w:hint="eastAsia" w:ascii="仿宋" w:hAnsi="仿宋" w:eastAsia="仿宋" w:cs="仿宋"/>
          <w:b/>
          <w:color w:val="auto"/>
          <w:sz w:val="44"/>
          <w:highlight w:val="none"/>
        </w:rPr>
      </w:pPr>
    </w:p>
    <w:p>
      <w:pPr>
        <w:spacing w:line="360" w:lineRule="auto"/>
        <w:rPr>
          <w:rFonts w:hint="eastAsia" w:ascii="仿宋" w:hAnsi="仿宋" w:eastAsia="仿宋" w:cs="仿宋"/>
          <w:b/>
          <w:color w:val="auto"/>
          <w:sz w:val="30"/>
          <w:highlight w:val="none"/>
          <w:u w:val="single"/>
        </w:rPr>
      </w:pPr>
    </w:p>
    <w:p>
      <w:pPr>
        <w:spacing w:line="360" w:lineRule="auto"/>
        <w:ind w:left="491" w:leftChars="-115" w:hanging="732" w:hangingChars="243"/>
        <w:outlineLvl w:val="0"/>
        <w:rPr>
          <w:rFonts w:hint="eastAsia" w:ascii="仿宋" w:hAnsi="仿宋" w:eastAsia="仿宋" w:cs="仿宋"/>
          <w:b/>
          <w:color w:val="auto"/>
          <w:sz w:val="30"/>
          <w:szCs w:val="30"/>
          <w:highlight w:val="none"/>
        </w:rPr>
      </w:pPr>
    </w:p>
    <w:p>
      <w:pPr>
        <w:spacing w:line="360" w:lineRule="auto"/>
        <w:ind w:left="491" w:leftChars="-115" w:hanging="732" w:hangingChars="243"/>
        <w:outlineLvl w:val="0"/>
        <w:rPr>
          <w:rFonts w:hint="eastAsia" w:ascii="仿宋" w:hAnsi="仿宋" w:eastAsia="仿宋" w:cs="仿宋"/>
          <w:b/>
          <w:color w:val="auto"/>
          <w:sz w:val="30"/>
          <w:szCs w:val="30"/>
          <w:highlight w:val="none"/>
        </w:rPr>
      </w:pPr>
    </w:p>
    <w:p>
      <w:pPr>
        <w:spacing w:line="360" w:lineRule="auto"/>
        <w:ind w:left="491" w:leftChars="-115" w:hanging="732" w:hangingChars="243"/>
        <w:outlineLvl w:val="0"/>
        <w:rPr>
          <w:rFonts w:hint="eastAsia" w:ascii="仿宋" w:hAnsi="仿宋" w:eastAsia="仿宋" w:cs="仿宋"/>
          <w:b/>
          <w:color w:val="auto"/>
          <w:sz w:val="30"/>
          <w:szCs w:val="30"/>
          <w:highlight w:val="none"/>
        </w:rPr>
      </w:pPr>
    </w:p>
    <w:p>
      <w:pPr>
        <w:ind w:left="567" w:firstLine="420"/>
        <w:rPr>
          <w:rFonts w:hint="eastAsia" w:ascii="仿宋" w:hAnsi="仿宋" w:eastAsia="仿宋" w:cs="仿宋"/>
          <w:b/>
          <w:color w:val="auto"/>
          <w:sz w:val="30"/>
          <w:szCs w:val="30"/>
          <w:highlight w:val="none"/>
          <w:u w:val="thick"/>
        </w:rPr>
      </w:pPr>
      <w:r>
        <w:rPr>
          <w:rFonts w:hint="eastAsia" w:ascii="仿宋" w:hAnsi="仿宋" w:eastAsia="仿宋" w:cs="仿宋"/>
          <w:b/>
          <w:color w:val="auto"/>
          <w:sz w:val="30"/>
          <w:szCs w:val="30"/>
          <w:highlight w:val="none"/>
        </w:rPr>
        <mc:AlternateContent>
          <mc:Choice Requires="wps">
            <w:drawing>
              <wp:anchor distT="0" distB="0" distL="114300" distR="114300" simplePos="0" relativeHeight="251659264" behindDoc="0" locked="0" layoutInCell="1" allowOverlap="1">
                <wp:simplePos x="0" y="0"/>
                <wp:positionH relativeFrom="column">
                  <wp:posOffset>1518285</wp:posOffset>
                </wp:positionH>
                <wp:positionV relativeFrom="paragraph">
                  <wp:posOffset>332740</wp:posOffset>
                </wp:positionV>
                <wp:extent cx="2663825" cy="0"/>
                <wp:effectExtent l="0" t="9525" r="3175" b="9525"/>
                <wp:wrapNone/>
                <wp:docPr id="310413066" name="直接连接符 1"/>
                <wp:cNvGraphicFramePr/>
                <a:graphic xmlns:a="http://schemas.openxmlformats.org/drawingml/2006/main">
                  <a:graphicData uri="http://schemas.microsoft.com/office/word/2010/wordprocessingShape">
                    <wps:wsp>
                      <wps:cNvCnPr/>
                      <wps:spPr>
                        <a:xfrm>
                          <a:off x="0" y="0"/>
                          <a:ext cx="2663687"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left:119.55pt;margin-top:26.2pt;height:0pt;width:209.75pt;z-index:251659264;mso-width-relative:page;mso-height-relative:page;" filled="f" stroked="t" coordsize="21600,21600" o:gfxdata="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lqHzWtkAAAAJAQAADwAAAAAAAAABACAAAAAiAAAAZHJzL2Rvd25yZXYueG1sUEsBAhQAFAAAAAgA&#10;h07iQF/pfEvrAQAAugMAAA4AAAAAAAAAAQAgAAAAKAEAAGRycy9lMm9Eb2MueG1sUEsFBgAAAAAG&#10;AAYAWQEAAIUFAAAAAA==&#10;">
                <v:fill on="f" focussize="0,0"/>
                <v:stroke weight="1.5pt" color="#000000 [3200]" miterlimit="8" joinstyle="miter"/>
                <v:imagedata o:title=""/>
                <o:lock v:ext="edit" aspectratio="f"/>
              </v:line>
            </w:pict>
          </mc:Fallback>
        </mc:AlternateContent>
      </w:r>
      <w:r>
        <w:rPr>
          <w:rFonts w:hint="eastAsia" w:ascii="仿宋" w:hAnsi="仿宋" w:eastAsia="仿宋" w:cs="仿宋"/>
          <w:b/>
          <w:color w:val="auto"/>
          <w:sz w:val="30"/>
          <w:szCs w:val="30"/>
          <w:highlight w:val="none"/>
        </w:rPr>
        <w:t>甲    方：</w:t>
      </w:r>
    </w:p>
    <w:p>
      <w:pPr>
        <w:spacing w:line="360" w:lineRule="auto"/>
        <w:rPr>
          <w:rFonts w:hint="eastAsia" w:ascii="仿宋" w:hAnsi="仿宋" w:eastAsia="仿宋" w:cs="仿宋"/>
          <w:b/>
          <w:color w:val="auto"/>
          <w:sz w:val="30"/>
          <w:szCs w:val="30"/>
          <w:highlight w:val="none"/>
        </w:rPr>
      </w:pPr>
    </w:p>
    <w:p>
      <w:pPr>
        <w:spacing w:line="360" w:lineRule="auto"/>
        <w:rPr>
          <w:rFonts w:hint="eastAsia" w:ascii="仿宋" w:hAnsi="仿宋" w:eastAsia="仿宋" w:cs="仿宋"/>
          <w:b/>
          <w:color w:val="auto"/>
          <w:sz w:val="30"/>
          <w:szCs w:val="30"/>
          <w:highlight w:val="none"/>
        </w:rPr>
      </w:pPr>
    </w:p>
    <w:p>
      <w:pPr>
        <w:ind w:left="567" w:firstLine="42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mc:AlternateContent>
          <mc:Choice Requires="wps">
            <w:drawing>
              <wp:anchor distT="0" distB="0" distL="114300" distR="114300" simplePos="0" relativeHeight="251660288" behindDoc="0" locked="0" layoutInCell="1" allowOverlap="1">
                <wp:simplePos x="0" y="0"/>
                <wp:positionH relativeFrom="column">
                  <wp:posOffset>1478915</wp:posOffset>
                </wp:positionH>
                <wp:positionV relativeFrom="paragraph">
                  <wp:posOffset>328930</wp:posOffset>
                </wp:positionV>
                <wp:extent cx="2663825" cy="0"/>
                <wp:effectExtent l="0" t="9525" r="3175" b="9525"/>
                <wp:wrapNone/>
                <wp:docPr id="1414463982" name="直接连接符 1"/>
                <wp:cNvGraphicFramePr/>
                <a:graphic xmlns:a="http://schemas.openxmlformats.org/drawingml/2006/main">
                  <a:graphicData uri="http://schemas.microsoft.com/office/word/2010/wordprocessingShape">
                    <wps:wsp>
                      <wps:cNvCnPr/>
                      <wps:spPr>
                        <a:xfrm>
                          <a:off x="0" y="0"/>
                          <a:ext cx="2663687"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left:116.45pt;margin-top:25.9pt;height:0pt;width:209.75pt;z-index:251660288;mso-width-relative:page;mso-height-relative:page;" filled="f" stroked="t" coordsize="21600,21600" o:gfxdata="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Hkw33YAAAACQEAAA8AAAAAAAAAAQAgAAAAIgAAAGRycy9kb3ducmV2LnhtbFBLAQIUABQAAAAI&#10;AIdO4kBYidGJ7QEAALsDAAAOAAAAAAAAAAEAIAAAACcBAABkcnMvZTJvRG9jLnhtbFBLBQYAAAAA&#10;BgAGAFkBAACGBQAAAAA=&#10;">
                <v:fill on="f" focussize="0,0"/>
                <v:stroke weight="1.5pt" color="#000000 [3200]" miterlimit="8" joinstyle="miter"/>
                <v:imagedata o:title=""/>
                <o:lock v:ext="edit" aspectratio="f"/>
              </v:line>
            </w:pict>
          </mc:Fallback>
        </mc:AlternateContent>
      </w:r>
      <w:r>
        <w:rPr>
          <w:rFonts w:hint="eastAsia" w:ascii="仿宋" w:hAnsi="仿宋" w:eastAsia="仿宋" w:cs="仿宋"/>
          <w:b/>
          <w:color w:val="auto"/>
          <w:sz w:val="30"/>
          <w:szCs w:val="30"/>
          <w:highlight w:val="none"/>
        </w:rPr>
        <w:t>乙    方：</w:t>
      </w:r>
    </w:p>
    <w:p>
      <w:pPr>
        <w:spacing w:line="360" w:lineRule="auto"/>
        <w:rPr>
          <w:rFonts w:hint="eastAsia" w:ascii="仿宋" w:hAnsi="仿宋" w:eastAsia="仿宋" w:cs="仿宋"/>
          <w:b/>
          <w:color w:val="auto"/>
          <w:sz w:val="32"/>
          <w:highlight w:val="none"/>
        </w:rPr>
      </w:pPr>
    </w:p>
    <w:p>
      <w:pPr>
        <w:spacing w:line="360" w:lineRule="auto"/>
        <w:rPr>
          <w:rFonts w:hint="eastAsia" w:ascii="仿宋" w:hAnsi="仿宋" w:eastAsia="仿宋" w:cs="仿宋"/>
          <w:b/>
          <w:color w:val="auto"/>
          <w:sz w:val="32"/>
          <w:highlight w:val="none"/>
        </w:rPr>
      </w:pPr>
    </w:p>
    <w:p>
      <w:pPr>
        <w:spacing w:line="360" w:lineRule="auto"/>
        <w:rPr>
          <w:rFonts w:hint="eastAsia" w:ascii="仿宋" w:hAnsi="仿宋" w:eastAsia="仿宋" w:cs="仿宋"/>
          <w:b/>
          <w:color w:val="auto"/>
          <w:sz w:val="32"/>
          <w:highlight w:val="none"/>
        </w:rPr>
      </w:pPr>
    </w:p>
    <w:p>
      <w:pPr>
        <w:spacing w:line="360" w:lineRule="auto"/>
        <w:ind w:firstLine="2108" w:firstLineChars="700"/>
        <w:rPr>
          <w:rFonts w:hint="eastAsia" w:ascii="仿宋" w:hAnsi="仿宋" w:eastAsia="仿宋" w:cs="仿宋"/>
          <w:b/>
          <w:color w:val="auto"/>
          <w:sz w:val="30"/>
          <w:highlight w:val="none"/>
        </w:rPr>
      </w:pPr>
      <w:r>
        <w:rPr>
          <w:rFonts w:hint="eastAsia" w:ascii="仿宋" w:hAnsi="仿宋" w:eastAsia="仿宋" w:cs="仿宋"/>
          <w:b/>
          <w:color w:val="auto"/>
          <w:sz w:val="30"/>
          <w:highlight w:val="none"/>
        </w:rPr>
        <w:t>签订日期：     年   月   日</w:t>
      </w:r>
    </w:p>
    <w:p>
      <w:pPr>
        <w:spacing w:line="360" w:lineRule="auto"/>
        <w:ind w:firstLine="2108" w:firstLineChars="700"/>
        <w:jc w:val="both"/>
        <w:rPr>
          <w:rFonts w:hint="default" w:ascii="仿宋" w:hAnsi="仿宋" w:eastAsia="仿宋" w:cs="仿宋"/>
          <w:b/>
          <w:color w:val="auto"/>
          <w:sz w:val="30"/>
          <w:highlight w:val="none"/>
          <w:lang w:val="en-US" w:eastAsia="zh-CN"/>
        </w:rPr>
      </w:pPr>
      <w:r>
        <w:rPr>
          <w:rFonts w:hint="eastAsia" w:ascii="仿宋" w:hAnsi="仿宋" w:eastAsia="仿宋" w:cs="仿宋"/>
          <w:b/>
          <w:color w:val="auto"/>
          <w:sz w:val="30"/>
          <w:highlight w:val="none"/>
        </w:rPr>
        <w:t>签订地点：</w:t>
      </w:r>
      <w:r>
        <w:rPr>
          <w:rFonts w:hint="eastAsia" w:ascii="仿宋" w:hAnsi="仿宋" w:eastAsia="仿宋" w:cs="仿宋"/>
          <w:b/>
          <w:color w:val="auto"/>
          <w:sz w:val="30"/>
          <w:highlight w:val="none"/>
          <w:u w:val="single"/>
          <w:lang w:val="en-US" w:eastAsia="zh-CN"/>
        </w:rPr>
        <w:t xml:space="preserve">                 </w:t>
      </w:r>
    </w:p>
    <w:p>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keepNext w:val="0"/>
        <w:keepLines w:val="0"/>
        <w:pageBreakBefore w:val="0"/>
        <w:kinsoku/>
        <w:wordWrap/>
        <w:overflowPunct/>
        <w:topLinePunct w:val="0"/>
        <w:bidi w:val="0"/>
        <w:adjustRightInd w:val="0"/>
        <w:snapToGrid w:val="0"/>
        <w:spacing w:beforeAutospacing="0" w:line="360" w:lineRule="auto"/>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负责人：</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项目联系人：</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p>
    <w:p>
      <w:pPr>
        <w:keepNext w:val="0"/>
        <w:keepLines w:val="0"/>
        <w:pageBreakBefore w:val="0"/>
        <w:kinsoku/>
        <w:wordWrap/>
        <w:overflowPunct/>
        <w:topLinePunct w:val="0"/>
        <w:bidi w:val="0"/>
        <w:adjustRightInd w:val="0"/>
        <w:snapToGrid w:val="0"/>
        <w:spacing w:beforeAutospacing="0" w:line="360" w:lineRule="auto"/>
        <w:ind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 xml:space="preserve">乙方： </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 </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项目联系人： </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为保证甲方工作的正常开展，甲乙双方本着坦诚合作原则，在明确双方职责、义务和权利的基础上，根据《中华人民共和国民法典》及其他法律法规，达成如下协议，供双方在运行维护过程中共同遵守。</w:t>
      </w:r>
    </w:p>
    <w:p>
      <w:pPr>
        <w:pStyle w:val="10"/>
        <w:keepNext w:val="0"/>
        <w:keepLines w:val="0"/>
        <w:pageBreakBefore w:val="0"/>
        <w:kinsoku/>
        <w:wordWrap/>
        <w:overflowPunct/>
        <w:topLinePunct w:val="0"/>
        <w:bidi w:val="0"/>
        <w:adjustRightInd w:val="0"/>
        <w:snapToGrid w:val="0"/>
        <w:spacing w:beforeAutospacing="0" w:line="360" w:lineRule="auto"/>
        <w:ind w:firstLine="562" w:firstLineChars="200"/>
        <w:textAlignment w:val="auto"/>
        <w:rPr>
          <w:rStyle w:val="11"/>
          <w:rFonts w:hint="eastAsia" w:ascii="仿宋" w:hAnsi="仿宋" w:eastAsia="仿宋" w:cs="仿宋"/>
          <w:b/>
          <w:bCs/>
          <w:color w:val="auto"/>
          <w:highlight w:val="none"/>
        </w:rPr>
      </w:pPr>
      <w:r>
        <w:rPr>
          <w:rStyle w:val="11"/>
          <w:rFonts w:hint="eastAsia" w:ascii="仿宋" w:hAnsi="仿宋" w:eastAsia="仿宋" w:cs="仿宋"/>
          <w:b/>
          <w:bCs/>
          <w:color w:val="auto"/>
          <w:highlight w:val="none"/>
          <w:lang w:val="en-US" w:eastAsia="zh-CN"/>
        </w:rPr>
        <w:t>一</w:t>
      </w:r>
      <w:r>
        <w:rPr>
          <w:rStyle w:val="11"/>
          <w:rFonts w:hint="eastAsia" w:ascii="仿宋" w:hAnsi="仿宋" w:eastAsia="仿宋" w:cs="仿宋"/>
          <w:b/>
          <w:bCs/>
          <w:color w:val="auto"/>
          <w:highlight w:val="none"/>
        </w:rPr>
        <w:t>、维护费用和付款方式</w:t>
      </w:r>
    </w:p>
    <w:p>
      <w:pPr>
        <w:pStyle w:val="12"/>
        <w:keepNext w:val="0"/>
        <w:keepLines w:val="0"/>
        <w:pageBreakBefore w:val="0"/>
        <w:kinsoku/>
        <w:wordWrap/>
        <w:overflowPunct/>
        <w:topLinePunct w:val="0"/>
        <w:bidi w:val="0"/>
        <w:adjustRightInd w:val="0"/>
        <w:snapToGrid w:val="0"/>
        <w:spacing w:beforeAutospacing="0" w:line="360" w:lineRule="auto"/>
        <w:ind w:left="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本协议维护费用共计</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元，大写：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元整，该费用为含税总价，不受市场价变化或实际工作量变化的影响。合同签订运维期开始后，第一季度完成采购需求内容考核通过后，达到付款条件7日内，支付合同总金额25%。第二季度完成采购需求内容考核通过后，达到付款条件7日内，支付合同总金额25%。第三季度完成采购需求内容考核通过后，达到付款条件7日内，支付合同总金额25%。第四季度完成采购需求内容考核通过后，达到付款条件7日内，支付合同总金额25%。（付款前供应商应出具符合甲方要求的正规等额含税发票）</w:t>
      </w:r>
    </w:p>
    <w:p>
      <w:pPr>
        <w:pStyle w:val="12"/>
        <w:keepNext w:val="0"/>
        <w:keepLines w:val="0"/>
        <w:pageBreakBefore w:val="0"/>
        <w:kinsoku/>
        <w:wordWrap/>
        <w:overflowPunct/>
        <w:topLinePunct w:val="0"/>
        <w:bidi w:val="0"/>
        <w:adjustRightInd w:val="0"/>
        <w:snapToGrid w:val="0"/>
        <w:spacing w:beforeAutospacing="0" w:line="360" w:lineRule="auto"/>
        <w:ind w:left="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维护期：自</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日始至</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日止，期满后本协议自动终止。</w:t>
      </w:r>
    </w:p>
    <w:p>
      <w:pPr>
        <w:pStyle w:val="12"/>
        <w:keepNext w:val="0"/>
        <w:keepLines w:val="0"/>
        <w:pageBreakBefore w:val="0"/>
        <w:kinsoku/>
        <w:wordWrap/>
        <w:overflowPunct/>
        <w:topLinePunct w:val="0"/>
        <w:bidi w:val="0"/>
        <w:adjustRightInd w:val="0"/>
        <w:snapToGrid w:val="0"/>
        <w:spacing w:beforeAutospacing="0" w:line="360" w:lineRule="auto"/>
        <w:ind w:left="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协议期满后，甲方可根据医院</w:t>
      </w:r>
      <w:r>
        <w:rPr>
          <w:rFonts w:hint="eastAsia" w:ascii="仿宋" w:hAnsi="仿宋" w:eastAsia="仿宋" w:cs="仿宋"/>
          <w:color w:val="auto"/>
          <w:sz w:val="28"/>
          <w:szCs w:val="28"/>
          <w:highlight w:val="none"/>
          <w:lang w:val="en-US" w:eastAsia="zh-CN"/>
        </w:rPr>
        <w:t>相关</w:t>
      </w:r>
      <w:r>
        <w:rPr>
          <w:rFonts w:hint="eastAsia" w:ascii="仿宋" w:hAnsi="仿宋" w:eastAsia="仿宋" w:cs="仿宋"/>
          <w:color w:val="auto"/>
          <w:sz w:val="28"/>
          <w:szCs w:val="28"/>
          <w:highlight w:val="none"/>
        </w:rPr>
        <w:t>评价标准对乙方提供服务质量进行综合评价，确认是否进行续签。</w:t>
      </w:r>
    </w:p>
    <w:p>
      <w:pPr>
        <w:keepNext w:val="0"/>
        <w:keepLines w:val="0"/>
        <w:pageBreakBefore w:val="0"/>
        <w:kinsoku/>
        <w:wordWrap/>
        <w:overflowPunct/>
        <w:topLinePunct w:val="0"/>
        <w:bidi w:val="0"/>
        <w:adjustRightInd w:val="0"/>
        <w:snapToGrid w:val="0"/>
        <w:spacing w:beforeAutospacing="0" w:line="360" w:lineRule="auto"/>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开票信息</w:t>
      </w:r>
    </w:p>
    <w:p>
      <w:pPr>
        <w:pStyle w:val="12"/>
        <w:keepNext w:val="0"/>
        <w:keepLines w:val="0"/>
        <w:pageBreakBefore w:val="0"/>
        <w:kinsoku/>
        <w:wordWrap/>
        <w:overflowPunct/>
        <w:topLinePunct w:val="0"/>
        <w:bidi w:val="0"/>
        <w:adjustRightInd w:val="0"/>
        <w:snapToGrid w:val="0"/>
        <w:spacing w:beforeAutospacing="0" w:line="360" w:lineRule="auto"/>
        <w:ind w:left="0"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单位名称：</w:t>
      </w:r>
      <w:r>
        <w:rPr>
          <w:rFonts w:hint="eastAsia" w:ascii="仿宋" w:hAnsi="仿宋" w:eastAsia="仿宋" w:cs="仿宋"/>
          <w:color w:val="auto"/>
          <w:sz w:val="28"/>
          <w:szCs w:val="28"/>
          <w:highlight w:val="none"/>
          <w:u w:val="single"/>
          <w:lang w:bidi="ar"/>
        </w:rPr>
        <w:t xml:space="preserve">                                               </w:t>
      </w:r>
    </w:p>
    <w:p>
      <w:pPr>
        <w:pStyle w:val="12"/>
        <w:keepNext w:val="0"/>
        <w:keepLines w:val="0"/>
        <w:pageBreakBefore w:val="0"/>
        <w:kinsoku/>
        <w:wordWrap/>
        <w:overflowPunct/>
        <w:topLinePunct w:val="0"/>
        <w:bidi w:val="0"/>
        <w:adjustRightInd w:val="0"/>
        <w:snapToGrid w:val="0"/>
        <w:spacing w:beforeAutospacing="0" w:line="360" w:lineRule="auto"/>
        <w:ind w:left="0"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纳税人识别号：</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color w:val="auto"/>
          <w:sz w:val="28"/>
          <w:szCs w:val="28"/>
          <w:highlight w:val="none"/>
          <w:u w:val="single"/>
          <w:lang w:bidi="ar"/>
        </w:rPr>
        <w:t xml:space="preserve">                        </w:t>
      </w:r>
    </w:p>
    <w:p>
      <w:pPr>
        <w:pStyle w:val="12"/>
        <w:keepNext w:val="0"/>
        <w:keepLines w:val="0"/>
        <w:pageBreakBefore w:val="0"/>
        <w:kinsoku/>
        <w:wordWrap/>
        <w:overflowPunct/>
        <w:topLinePunct w:val="0"/>
        <w:bidi w:val="0"/>
        <w:adjustRightInd w:val="0"/>
        <w:snapToGrid w:val="0"/>
        <w:spacing w:beforeAutospacing="0" w:line="360" w:lineRule="auto"/>
        <w:ind w:left="0"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地 址：</w:t>
      </w:r>
      <w:r>
        <w:rPr>
          <w:rFonts w:hint="eastAsia" w:ascii="仿宋" w:hAnsi="仿宋" w:eastAsia="仿宋" w:cs="仿宋"/>
          <w:color w:val="auto"/>
          <w:sz w:val="28"/>
          <w:szCs w:val="28"/>
          <w:highlight w:val="none"/>
          <w:u w:val="single"/>
          <w:lang w:bidi="ar"/>
        </w:rPr>
        <w:t xml:space="preserve">                                               </w:t>
      </w:r>
    </w:p>
    <w:p>
      <w:pPr>
        <w:pStyle w:val="12"/>
        <w:keepNext w:val="0"/>
        <w:keepLines w:val="0"/>
        <w:pageBreakBefore w:val="0"/>
        <w:kinsoku/>
        <w:wordWrap/>
        <w:overflowPunct/>
        <w:topLinePunct w:val="0"/>
        <w:bidi w:val="0"/>
        <w:adjustRightInd w:val="0"/>
        <w:snapToGrid w:val="0"/>
        <w:spacing w:beforeAutospacing="0" w:line="360" w:lineRule="auto"/>
        <w:ind w:left="0"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电 话：</w:t>
      </w:r>
      <w:r>
        <w:rPr>
          <w:rFonts w:hint="eastAsia" w:ascii="仿宋" w:hAnsi="仿宋" w:eastAsia="仿宋" w:cs="仿宋"/>
          <w:color w:val="auto"/>
          <w:sz w:val="28"/>
          <w:szCs w:val="28"/>
          <w:highlight w:val="none"/>
          <w:u w:val="single"/>
          <w:lang w:bidi="ar"/>
        </w:rPr>
        <w:t xml:space="preserve">                                                </w:t>
      </w:r>
    </w:p>
    <w:p>
      <w:pPr>
        <w:pStyle w:val="12"/>
        <w:keepNext w:val="0"/>
        <w:keepLines w:val="0"/>
        <w:pageBreakBefore w:val="0"/>
        <w:kinsoku/>
        <w:wordWrap/>
        <w:overflowPunct/>
        <w:topLinePunct w:val="0"/>
        <w:bidi w:val="0"/>
        <w:adjustRightInd w:val="0"/>
        <w:snapToGrid w:val="0"/>
        <w:spacing w:beforeAutospacing="0" w:line="360" w:lineRule="auto"/>
        <w:ind w:left="0"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帐 号：</w:t>
      </w:r>
      <w:r>
        <w:rPr>
          <w:rFonts w:hint="eastAsia" w:ascii="仿宋" w:hAnsi="仿宋" w:eastAsia="仿宋" w:cs="仿宋"/>
          <w:color w:val="auto"/>
          <w:sz w:val="28"/>
          <w:szCs w:val="28"/>
          <w:highlight w:val="none"/>
          <w:u w:val="single"/>
          <w:lang w:bidi="ar"/>
        </w:rPr>
        <w:t xml:space="preserve">                                                </w:t>
      </w:r>
    </w:p>
    <w:p>
      <w:pPr>
        <w:pStyle w:val="12"/>
        <w:keepNext w:val="0"/>
        <w:keepLines w:val="0"/>
        <w:pageBreakBefore w:val="0"/>
        <w:kinsoku/>
        <w:wordWrap/>
        <w:overflowPunct/>
        <w:topLinePunct w:val="0"/>
        <w:bidi w:val="0"/>
        <w:adjustRightInd w:val="0"/>
        <w:snapToGrid w:val="0"/>
        <w:spacing w:beforeAutospacing="0" w:line="360" w:lineRule="auto"/>
        <w:ind w:left="0"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开户银行：</w:t>
      </w:r>
      <w:r>
        <w:rPr>
          <w:rFonts w:hint="eastAsia" w:ascii="仿宋" w:hAnsi="仿宋" w:eastAsia="仿宋" w:cs="仿宋"/>
          <w:color w:val="auto"/>
          <w:sz w:val="28"/>
          <w:szCs w:val="28"/>
          <w:highlight w:val="none"/>
          <w:u w:val="single"/>
          <w:lang w:bidi="ar"/>
        </w:rPr>
        <w:t xml:space="preserve">                                             </w:t>
      </w:r>
    </w:p>
    <w:p>
      <w:pPr>
        <w:keepNext w:val="0"/>
        <w:keepLines w:val="0"/>
        <w:pageBreakBefore w:val="0"/>
        <w:tabs>
          <w:tab w:val="left" w:pos="420"/>
          <w:tab w:val="left" w:pos="709"/>
        </w:tabs>
        <w:kinsoku/>
        <w:wordWrap/>
        <w:overflowPunct/>
        <w:topLinePunct w:val="0"/>
        <w:bidi w:val="0"/>
        <w:adjustRightInd w:val="0"/>
        <w:snapToGrid w:val="0"/>
        <w:spacing w:beforeAutospacing="0" w:line="360" w:lineRule="auto"/>
        <w:ind w:firstLine="562" w:firstLineChars="200"/>
        <w:textAlignment w:val="auto"/>
        <w:rPr>
          <w:rFonts w:hint="eastAsia" w:ascii="仿宋" w:hAnsi="仿宋" w:eastAsia="仿宋" w:cs="仿宋"/>
          <w:b/>
          <w:bCs/>
          <w:color w:val="auto"/>
          <w:sz w:val="28"/>
          <w:szCs w:val="28"/>
          <w:highlight w:val="none"/>
        </w:rPr>
      </w:pPr>
      <w:r>
        <w:rPr>
          <w:rStyle w:val="11"/>
          <w:rFonts w:hint="eastAsia" w:ascii="仿宋" w:hAnsi="仿宋" w:eastAsia="仿宋" w:cs="仿宋"/>
          <w:b/>
          <w:bCs/>
          <w:color w:val="auto"/>
          <w:highlight w:val="none"/>
          <w:lang w:val="en-US" w:eastAsia="zh-CN"/>
        </w:rPr>
        <w:t>二</w:t>
      </w:r>
      <w:r>
        <w:rPr>
          <w:rStyle w:val="11"/>
          <w:rFonts w:hint="eastAsia" w:ascii="仿宋" w:hAnsi="仿宋" w:eastAsia="仿宋" w:cs="仿宋"/>
          <w:b/>
          <w:bCs/>
          <w:color w:val="auto"/>
          <w:highlight w:val="none"/>
        </w:rPr>
        <w:t>、</w:t>
      </w:r>
      <w:r>
        <w:rPr>
          <w:rFonts w:hint="eastAsia" w:ascii="仿宋" w:hAnsi="仿宋" w:eastAsia="仿宋" w:cs="仿宋"/>
          <w:b/>
          <w:bCs/>
          <w:color w:val="auto"/>
          <w:sz w:val="28"/>
          <w:szCs w:val="28"/>
          <w:highlight w:val="none"/>
        </w:rPr>
        <w:t>双方职责</w:t>
      </w:r>
    </w:p>
    <w:p>
      <w:pPr>
        <w:keepNext w:val="0"/>
        <w:keepLines w:val="0"/>
        <w:pageBreakBefore w:val="0"/>
        <w:tabs>
          <w:tab w:val="left" w:pos="426"/>
          <w:tab w:val="left" w:pos="709"/>
        </w:tabs>
        <w:kinsoku/>
        <w:wordWrap/>
        <w:overflowPunct/>
        <w:topLinePunct w:val="0"/>
        <w:bidi w:val="0"/>
        <w:adjustRightInd w:val="0"/>
        <w:snapToGrid w:val="0"/>
        <w:spacing w:beforeAutospacing="0" w:line="360" w:lineRule="auto"/>
        <w:ind w:firstLine="562" w:firstLineChars="2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甲方职责</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1、甲方有权对乙方的工作进行监督检查，并要求其修正不符合要求的服务。</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、甲方向乙方提供必要的维护工作环境，以确保乙方维护工作能够按甲方的要求顺利维护。甲方做好用户的协调工作，保障乙方的服务工作不受甲方可能产生步调不一致等实际情况的影响。</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4、甲方按照本协议约定的条款向乙方支付服务费。</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5、甲方有权对乙方的服务进行满意度测评。</w:t>
      </w:r>
    </w:p>
    <w:p>
      <w:pPr>
        <w:keepNext w:val="0"/>
        <w:keepLines w:val="0"/>
        <w:pageBreakBefore w:val="0"/>
        <w:tabs>
          <w:tab w:val="left" w:pos="426"/>
          <w:tab w:val="left" w:pos="709"/>
        </w:tabs>
        <w:kinsoku/>
        <w:wordWrap/>
        <w:overflowPunct/>
        <w:topLinePunct w:val="0"/>
        <w:bidi w:val="0"/>
        <w:adjustRightInd w:val="0"/>
        <w:snapToGrid w:val="0"/>
        <w:spacing w:beforeAutospacing="0" w:line="360" w:lineRule="auto"/>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乙方职责</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1、乙方按照本协议规定的服务内容进行维护工作。</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2、乙方严格地约束技术人员，建立严格的内部管理规定，防止违规操作的发生。</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3、乙方工程师在排除故障后，按甲方要求做好相应的维护记录。</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4、乙方通过维护和支持工作所接触的甲方的保密信息，对此承担保密义务，没有得到甲方书面同意，乙方无权复制、修改、传播甲方信息。</w:t>
      </w:r>
    </w:p>
    <w:p>
      <w:pPr>
        <w:keepNext w:val="0"/>
        <w:keepLines w:val="0"/>
        <w:pageBreakBefore w:val="0"/>
        <w:kinsoku/>
        <w:wordWrap/>
        <w:overflowPunct/>
        <w:topLinePunct w:val="0"/>
        <w:autoSpaceDE w:val="0"/>
        <w:autoSpaceDN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5、乙方为代表甲方进行数据处理活动的处理者，按照甲方在本协议中做出的指示进行数据处理活动。乙方将</w:t>
      </w:r>
      <w:r>
        <w:rPr>
          <w:rFonts w:hint="eastAsia" w:ascii="仿宋" w:hAnsi="仿宋" w:eastAsia="仿宋" w:cs="仿宋"/>
          <w:color w:val="auto"/>
          <w:sz w:val="28"/>
          <w:szCs w:val="28"/>
          <w:highlight w:val="none"/>
          <w:shd w:val="clear" w:color="auto" w:fill="FFFFFF"/>
        </w:rPr>
        <w:t>采取必要措施保障所处理的个人信息的安全，并协助甲方履行法定义务。</w:t>
      </w:r>
      <w:r>
        <w:rPr>
          <w:rFonts w:hint="eastAsia" w:ascii="仿宋" w:hAnsi="仿宋" w:eastAsia="仿宋" w:cs="仿宋"/>
          <w:color w:val="auto"/>
          <w:sz w:val="28"/>
          <w:szCs w:val="28"/>
          <w:highlight w:val="none"/>
        </w:rPr>
        <w:t>在本协议终止时，除非双方另有约定或依据适用法另有规定，乙方将向甲方返还、或删除或匿名化处理乙方占有的与本协议相关的一切个人信息及其副本，以及包含上述个人信息的资料及其副本；或关闭对相关数据的访问权限。乙方违反本协议或适用的数据保护法相关规定的，或造成甲方个人信息丢失、泄露、损坏或销毁的，应当承担相应的法律责任；对甲方造成损失的，应当赔偿甲方所遭受的损失。</w:t>
      </w:r>
    </w:p>
    <w:p>
      <w:pPr>
        <w:pStyle w:val="10"/>
        <w:keepNext w:val="0"/>
        <w:keepLines w:val="0"/>
        <w:pageBreakBefore w:val="0"/>
        <w:kinsoku/>
        <w:wordWrap/>
        <w:overflowPunct/>
        <w:topLinePunct w:val="0"/>
        <w:bidi w:val="0"/>
        <w:adjustRightInd w:val="0"/>
        <w:snapToGrid w:val="0"/>
        <w:spacing w:beforeAutospacing="0" w:line="360" w:lineRule="auto"/>
        <w:ind w:left="0" w:leftChars="0" w:firstLine="562" w:firstLineChars="200"/>
        <w:textAlignment w:val="auto"/>
        <w:rPr>
          <w:rStyle w:val="11"/>
          <w:rFonts w:hint="eastAsia" w:ascii="仿宋" w:hAnsi="仿宋" w:eastAsia="仿宋" w:cs="仿宋"/>
          <w:b/>
          <w:bCs/>
          <w:color w:val="auto"/>
          <w:highlight w:val="none"/>
        </w:rPr>
      </w:pPr>
      <w:r>
        <w:rPr>
          <w:rStyle w:val="11"/>
          <w:rFonts w:hint="eastAsia" w:ascii="仿宋" w:hAnsi="仿宋" w:eastAsia="仿宋" w:cs="仿宋"/>
          <w:b/>
          <w:bCs/>
          <w:color w:val="auto"/>
          <w:highlight w:val="none"/>
          <w:lang w:val="en-US" w:eastAsia="zh-CN"/>
        </w:rPr>
        <w:t>三</w:t>
      </w:r>
      <w:r>
        <w:rPr>
          <w:rStyle w:val="11"/>
          <w:rFonts w:hint="eastAsia" w:ascii="仿宋" w:hAnsi="仿宋" w:eastAsia="仿宋" w:cs="仿宋"/>
          <w:b/>
          <w:bCs/>
          <w:color w:val="auto"/>
          <w:highlight w:val="none"/>
        </w:rPr>
        <w:t>、协议履行地点</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本协议履行地点：</w:t>
      </w:r>
      <w:r>
        <w:rPr>
          <w:rFonts w:hint="eastAsia" w:ascii="仿宋" w:hAnsi="仿宋" w:eastAsia="仿宋" w:cs="仿宋"/>
          <w:bCs/>
          <w:color w:val="auto"/>
          <w:sz w:val="28"/>
          <w:szCs w:val="28"/>
          <w:highlight w:val="none"/>
          <w:u w:val="single"/>
        </w:rPr>
        <w:t xml:space="preserve">                                     </w:t>
      </w:r>
    </w:p>
    <w:p>
      <w:pPr>
        <w:pStyle w:val="10"/>
        <w:keepNext w:val="0"/>
        <w:keepLines w:val="0"/>
        <w:pageBreakBefore w:val="0"/>
        <w:numPr>
          <w:ilvl w:val="0"/>
          <w:numId w:val="1"/>
        </w:numPr>
        <w:kinsoku/>
        <w:wordWrap/>
        <w:overflowPunct/>
        <w:topLinePunct w:val="0"/>
        <w:autoSpaceDE/>
        <w:autoSpaceDN/>
        <w:bidi w:val="0"/>
        <w:adjustRightInd w:val="0"/>
        <w:snapToGrid w:val="0"/>
        <w:spacing w:beforeAutospacing="0" w:afterAutospacing="0" w:line="360" w:lineRule="auto"/>
        <w:ind w:firstLine="562" w:firstLineChars="200"/>
        <w:textAlignment w:val="auto"/>
        <w:rPr>
          <w:rFonts w:hint="eastAsia" w:ascii="仿宋" w:hAnsi="仿宋" w:eastAsia="仿宋" w:cs="仿宋"/>
          <w:b/>
          <w:bCs/>
          <w:color w:val="auto"/>
          <w:spacing w:val="23"/>
          <w:sz w:val="28"/>
          <w:szCs w:val="28"/>
          <w:highlight w:val="none"/>
        </w:rPr>
      </w:pPr>
      <w:r>
        <w:rPr>
          <w:rStyle w:val="11"/>
          <w:rFonts w:hint="eastAsia" w:ascii="仿宋" w:hAnsi="仿宋" w:eastAsia="仿宋" w:cs="仿宋"/>
          <w:b/>
          <w:bCs/>
          <w:color w:val="auto"/>
          <w:highlight w:val="none"/>
        </w:rPr>
        <w:t>服务模式：</w:t>
      </w:r>
      <w:bookmarkStart w:id="0" w:name="_Toc56225718"/>
      <w:r>
        <w:rPr>
          <w:rFonts w:hint="eastAsia" w:ascii="仿宋" w:hAnsi="仿宋" w:eastAsia="仿宋" w:cs="仿宋"/>
          <w:color w:val="auto"/>
          <w:spacing w:val="-4"/>
          <w:sz w:val="28"/>
          <w:szCs w:val="28"/>
          <w:highlight w:val="none"/>
        </w:rPr>
        <w:t>实行24小时工作制</w:t>
      </w:r>
    </w:p>
    <w:p>
      <w:pPr>
        <w:pStyle w:val="10"/>
        <w:keepNext w:val="0"/>
        <w:keepLines w:val="0"/>
        <w:pageBreakBefore w:val="0"/>
        <w:numPr>
          <w:ilvl w:val="0"/>
          <w:numId w:val="1"/>
        </w:numPr>
        <w:kinsoku/>
        <w:wordWrap/>
        <w:overflowPunct/>
        <w:topLinePunct w:val="0"/>
        <w:autoSpaceDE/>
        <w:autoSpaceDN/>
        <w:bidi w:val="0"/>
        <w:adjustRightInd w:val="0"/>
        <w:snapToGrid w:val="0"/>
        <w:spacing w:beforeAutospacing="0" w:afterAutospacing="0" w:line="360" w:lineRule="auto"/>
        <w:ind w:firstLine="654" w:firstLineChars="200"/>
        <w:textAlignment w:val="auto"/>
        <w:rPr>
          <w:rFonts w:hint="eastAsia" w:ascii="仿宋" w:hAnsi="仿宋" w:eastAsia="仿宋" w:cs="仿宋"/>
          <w:b/>
          <w:bCs/>
          <w:color w:val="auto"/>
          <w:spacing w:val="23"/>
          <w:sz w:val="28"/>
          <w:szCs w:val="28"/>
          <w:highlight w:val="none"/>
        </w:rPr>
      </w:pPr>
      <w:r>
        <w:rPr>
          <w:rFonts w:hint="eastAsia" w:ascii="仿宋" w:hAnsi="仿宋" w:eastAsia="仿宋" w:cs="仿宋"/>
          <w:b/>
          <w:bCs/>
          <w:color w:val="auto"/>
          <w:spacing w:val="23"/>
          <w:sz w:val="28"/>
          <w:szCs w:val="28"/>
          <w:highlight w:val="none"/>
        </w:rPr>
        <w:t>进水水质情况、出水要求</w:t>
      </w:r>
    </w:p>
    <w:p>
      <w:pPr>
        <w:pStyle w:val="4"/>
        <w:keepNext w:val="0"/>
        <w:keepLines w:val="0"/>
        <w:pageBreakBefore w:val="0"/>
        <w:kinsoku/>
        <w:wordWrap/>
        <w:overflowPunct/>
        <w:topLinePunct w:val="0"/>
        <w:autoSpaceDE/>
        <w:autoSpaceDN/>
        <w:bidi w:val="0"/>
        <w:adjustRightInd w:val="0"/>
        <w:snapToGrid w:val="0"/>
        <w:spacing w:beforeAutospacing="0" w:afterAutospacing="0" w:line="360" w:lineRule="auto"/>
        <w:ind w:firstLine="580" w:firstLineChars="200"/>
        <w:textAlignment w:val="auto"/>
        <w:outlineLvl w:val="3"/>
        <w:rPr>
          <w:rFonts w:hint="eastAsia" w:ascii="仿宋" w:hAnsi="仿宋" w:eastAsia="仿宋" w:cs="仿宋"/>
          <w:color w:val="auto"/>
          <w:spacing w:val="5"/>
          <w:sz w:val="28"/>
          <w:szCs w:val="28"/>
          <w:highlight w:val="none"/>
        </w:rPr>
      </w:pPr>
      <w:r>
        <w:rPr>
          <w:rFonts w:hint="eastAsia" w:ascii="仿宋" w:hAnsi="仿宋" w:eastAsia="仿宋" w:cs="仿宋"/>
          <w:color w:val="auto"/>
          <w:spacing w:val="5"/>
          <w:sz w:val="28"/>
          <w:szCs w:val="28"/>
          <w:highlight w:val="none"/>
        </w:rPr>
        <w:t>污水处理站暂无进水水质化验报告，本次报价暂按设计进水水质计算，如果实际进水水质与设计水质相差较大，运行费用需根据实际情况重新计算。</w:t>
      </w:r>
    </w:p>
    <w:p>
      <w:pPr>
        <w:pStyle w:val="4"/>
        <w:keepNext w:val="0"/>
        <w:keepLines w:val="0"/>
        <w:pageBreakBefore w:val="0"/>
        <w:kinsoku/>
        <w:wordWrap/>
        <w:overflowPunct/>
        <w:topLinePunct w:val="0"/>
        <w:autoSpaceDE/>
        <w:autoSpaceDN/>
        <w:bidi w:val="0"/>
        <w:adjustRightInd w:val="0"/>
        <w:snapToGrid w:val="0"/>
        <w:spacing w:beforeAutospacing="0" w:afterAutospacing="0" w:line="360" w:lineRule="auto"/>
        <w:ind w:firstLine="580" w:firstLineChars="200"/>
        <w:textAlignment w:val="auto"/>
        <w:outlineLvl w:val="3"/>
        <w:rPr>
          <w:rFonts w:hint="eastAsia" w:ascii="仿宋" w:hAnsi="仿宋" w:eastAsia="仿宋" w:cs="仿宋"/>
          <w:color w:val="auto"/>
          <w:spacing w:val="5"/>
          <w:sz w:val="28"/>
          <w:szCs w:val="28"/>
          <w:highlight w:val="none"/>
        </w:rPr>
      </w:pPr>
      <w:r>
        <w:rPr>
          <w:rFonts w:hint="eastAsia" w:ascii="仿宋" w:hAnsi="仿宋" w:eastAsia="仿宋" w:cs="仿宋"/>
          <w:color w:val="auto"/>
          <w:spacing w:val="5"/>
          <w:sz w:val="28"/>
          <w:szCs w:val="28"/>
          <w:highlight w:val="none"/>
        </w:rPr>
        <w:t>其进水水质指标如下表：</w:t>
      </w:r>
    </w:p>
    <w:p>
      <w:pPr>
        <w:pStyle w:val="4"/>
        <w:keepNext w:val="0"/>
        <w:keepLines w:val="0"/>
        <w:pageBreakBefore w:val="0"/>
        <w:kinsoku/>
        <w:wordWrap/>
        <w:overflowPunct/>
        <w:topLinePunct w:val="0"/>
        <w:autoSpaceDE/>
        <w:autoSpaceDN/>
        <w:bidi w:val="0"/>
        <w:adjustRightInd w:val="0"/>
        <w:snapToGrid w:val="0"/>
        <w:spacing w:beforeAutospacing="0" w:afterAutospacing="0" w:line="360" w:lineRule="auto"/>
        <w:ind w:firstLine="580" w:firstLineChars="200"/>
        <w:jc w:val="center"/>
        <w:textAlignment w:val="auto"/>
        <w:outlineLvl w:val="3"/>
        <w:rPr>
          <w:rFonts w:hint="eastAsia" w:ascii="仿宋" w:hAnsi="仿宋" w:eastAsia="仿宋" w:cs="仿宋"/>
          <w:color w:val="auto"/>
          <w:spacing w:val="5"/>
          <w:sz w:val="28"/>
          <w:szCs w:val="28"/>
          <w:highlight w:val="none"/>
        </w:rPr>
      </w:pPr>
      <w:r>
        <w:rPr>
          <w:rFonts w:hint="eastAsia" w:ascii="仿宋" w:hAnsi="仿宋" w:eastAsia="仿宋" w:cs="仿宋"/>
          <w:color w:val="auto"/>
          <w:spacing w:val="5"/>
          <w:sz w:val="28"/>
          <w:szCs w:val="28"/>
          <w:highlight w:val="none"/>
        </w:rPr>
        <w:t>表1：项目进水水质表</w:t>
      </w:r>
    </w:p>
    <w:tbl>
      <w:tblPr>
        <w:tblStyle w:val="6"/>
        <w:tblW w:w="4874" w:type="pct"/>
        <w:tblInd w:w="10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414"/>
        <w:gridCol w:w="1037"/>
        <w:gridCol w:w="1709"/>
        <w:gridCol w:w="1205"/>
        <w:gridCol w:w="1037"/>
        <w:gridCol w:w="1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871" w:type="pct"/>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项目</w:t>
            </w:r>
          </w:p>
        </w:tc>
        <w:tc>
          <w:tcPr>
            <w:tcW w:w="639" w:type="pct"/>
            <w:tcBorders>
              <w:top w:val="single" w:color="000000" w:sz="6" w:space="0"/>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pH</w:t>
            </w:r>
          </w:p>
        </w:tc>
        <w:tc>
          <w:tcPr>
            <w:tcW w:w="1053" w:type="pct"/>
            <w:tcBorders>
              <w:top w:val="single" w:color="000000" w:sz="6" w:space="0"/>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CODcr</w:t>
            </w:r>
          </w:p>
        </w:tc>
        <w:tc>
          <w:tcPr>
            <w:tcW w:w="742" w:type="pct"/>
            <w:tcBorders>
              <w:top w:val="single" w:color="000000" w:sz="6" w:space="0"/>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BOD</w:t>
            </w:r>
            <w:r>
              <w:rPr>
                <w:rFonts w:hint="eastAsia" w:ascii="宋体" w:hAnsi="宋体" w:eastAsia="宋体" w:cs="宋体"/>
                <w:sz w:val="18"/>
                <w:szCs w:val="18"/>
                <w:vertAlign w:val="subscript"/>
              </w:rPr>
              <w:t>5</w:t>
            </w:r>
          </w:p>
        </w:tc>
        <w:tc>
          <w:tcPr>
            <w:tcW w:w="639" w:type="pct"/>
            <w:tcBorders>
              <w:top w:val="single" w:color="000000" w:sz="6" w:space="0"/>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SS</w:t>
            </w:r>
          </w:p>
        </w:tc>
        <w:tc>
          <w:tcPr>
            <w:tcW w:w="1053" w:type="pct"/>
            <w:tcBorders>
              <w:top w:val="single" w:color="000000" w:sz="6" w:space="0"/>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NH3-N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871"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进水水质</w:t>
            </w:r>
          </w:p>
        </w:tc>
        <w:tc>
          <w:tcPr>
            <w:tcW w:w="639"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6-9</w:t>
            </w:r>
          </w:p>
        </w:tc>
        <w:tc>
          <w:tcPr>
            <w:tcW w:w="1053"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500</w:t>
            </w:r>
          </w:p>
        </w:tc>
        <w:tc>
          <w:tcPr>
            <w:tcW w:w="742"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260</w:t>
            </w:r>
          </w:p>
        </w:tc>
        <w:tc>
          <w:tcPr>
            <w:tcW w:w="639"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400</w:t>
            </w:r>
          </w:p>
        </w:tc>
        <w:tc>
          <w:tcPr>
            <w:tcW w:w="1053"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0" w:firstLineChars="200"/>
              <w:jc w:val="center"/>
              <w:textAlignment w:val="auto"/>
            </w:pPr>
            <w:r>
              <w:rPr>
                <w:rFonts w:hint="eastAsia" w:ascii="宋体" w:hAnsi="宋体" w:eastAsia="宋体" w:cs="宋体"/>
                <w:sz w:val="18"/>
                <w:szCs w:val="18"/>
              </w:rPr>
              <w:t>40</w:t>
            </w:r>
          </w:p>
        </w:tc>
      </w:tr>
    </w:tbl>
    <w:p>
      <w:pPr>
        <w:pStyle w:val="4"/>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firstLine="580" w:firstLineChars="200"/>
        <w:jc w:val="left"/>
        <w:textAlignment w:val="auto"/>
        <w:outlineLvl w:val="3"/>
        <w:rPr>
          <w:rFonts w:hint="eastAsia" w:ascii="仿宋" w:hAnsi="仿宋" w:eastAsia="仿宋" w:cs="仿宋"/>
          <w:color w:val="auto"/>
          <w:spacing w:val="5"/>
          <w:sz w:val="28"/>
          <w:szCs w:val="28"/>
          <w:highlight w:val="none"/>
        </w:rPr>
      </w:pPr>
      <w:r>
        <w:rPr>
          <w:rFonts w:hint="eastAsia" w:ascii="仿宋" w:hAnsi="仿宋" w:eastAsia="仿宋" w:cs="仿宋"/>
          <w:color w:val="auto"/>
          <w:spacing w:val="5"/>
          <w:sz w:val="28"/>
          <w:szCs w:val="28"/>
          <w:highlight w:val="none"/>
        </w:rPr>
        <w:t>出水水质排放标准</w:t>
      </w:r>
    </w:p>
    <w:p>
      <w:pPr>
        <w:pStyle w:val="4"/>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360" w:lineRule="auto"/>
        <w:ind w:firstLine="580" w:firstLineChars="200"/>
        <w:jc w:val="left"/>
        <w:textAlignment w:val="auto"/>
        <w:outlineLvl w:val="3"/>
        <w:rPr>
          <w:rFonts w:hint="eastAsia" w:ascii="仿宋" w:hAnsi="仿宋" w:eastAsia="仿宋" w:cs="仿宋"/>
          <w:color w:val="auto"/>
          <w:spacing w:val="5"/>
          <w:sz w:val="28"/>
          <w:szCs w:val="28"/>
          <w:highlight w:val="none"/>
        </w:rPr>
      </w:pPr>
      <w:r>
        <w:rPr>
          <w:rFonts w:hint="eastAsia" w:ascii="仿宋" w:hAnsi="仿宋" w:eastAsia="仿宋" w:cs="仿宋"/>
          <w:color w:val="auto"/>
          <w:spacing w:val="5"/>
          <w:sz w:val="28"/>
          <w:szCs w:val="28"/>
          <w:highlight w:val="none"/>
        </w:rPr>
        <w:t>综合楼污水处理站确保污水排放水质符合《医疗机构水污染物排放标准》（GB18466-2005）表2预处理标准要求。</w:t>
      </w:r>
    </w:p>
    <w:p>
      <w:pPr>
        <w:pStyle w:val="4"/>
        <w:keepNext w:val="0"/>
        <w:keepLines w:val="0"/>
        <w:pageBreakBefore w:val="0"/>
        <w:kinsoku/>
        <w:wordWrap/>
        <w:overflowPunct/>
        <w:topLinePunct w:val="0"/>
        <w:autoSpaceDE/>
        <w:autoSpaceDN/>
        <w:bidi w:val="0"/>
        <w:adjustRightInd w:val="0"/>
        <w:snapToGrid w:val="0"/>
        <w:spacing w:beforeAutospacing="0" w:afterAutospacing="0" w:line="360" w:lineRule="auto"/>
        <w:ind w:firstLine="580" w:firstLineChars="200"/>
        <w:jc w:val="left"/>
        <w:textAlignment w:val="auto"/>
        <w:outlineLvl w:val="3"/>
        <w:rPr>
          <w:rFonts w:hint="eastAsia" w:ascii="仿宋" w:hAnsi="仿宋" w:eastAsia="仿宋" w:cs="仿宋"/>
          <w:color w:val="auto"/>
          <w:spacing w:val="5"/>
          <w:sz w:val="28"/>
          <w:szCs w:val="28"/>
          <w:highlight w:val="none"/>
        </w:rPr>
      </w:pPr>
      <w:r>
        <w:rPr>
          <w:rFonts w:hint="eastAsia" w:ascii="仿宋" w:hAnsi="仿宋" w:eastAsia="仿宋" w:cs="仿宋"/>
          <w:color w:val="auto"/>
          <w:spacing w:val="5"/>
          <w:sz w:val="28"/>
          <w:szCs w:val="28"/>
          <w:highlight w:val="none"/>
        </w:rPr>
        <w:t>感染楼污水处理站确保污水排放水质符合《医疗机构水污染物排放标准》（GB18466-2005）表1排放标准限值要求。</w:t>
      </w:r>
    </w:p>
    <w:p>
      <w:pPr>
        <w:pStyle w:val="4"/>
        <w:keepNext w:val="0"/>
        <w:keepLines w:val="0"/>
        <w:pageBreakBefore w:val="0"/>
        <w:kinsoku/>
        <w:wordWrap/>
        <w:overflowPunct/>
        <w:topLinePunct w:val="0"/>
        <w:autoSpaceDE/>
        <w:autoSpaceDN/>
        <w:bidi w:val="0"/>
        <w:adjustRightInd w:val="0"/>
        <w:snapToGrid w:val="0"/>
        <w:spacing w:beforeAutospacing="0" w:afterAutospacing="0" w:line="360" w:lineRule="auto"/>
        <w:ind w:firstLine="618" w:firstLineChars="200"/>
        <w:textAlignment w:val="auto"/>
        <w:outlineLvl w:val="3"/>
        <w:rPr>
          <w:rFonts w:hint="eastAsia" w:ascii="仿宋" w:hAnsi="仿宋" w:eastAsia="仿宋" w:cs="仿宋"/>
          <w:color w:val="auto"/>
          <w:sz w:val="28"/>
          <w:szCs w:val="28"/>
          <w:highlight w:val="none"/>
        </w:rPr>
      </w:pPr>
      <w:r>
        <w:rPr>
          <w:rFonts w:hint="eastAsia" w:ascii="仿宋" w:hAnsi="仿宋" w:eastAsia="仿宋" w:cs="仿宋"/>
          <w:b/>
          <w:bCs/>
          <w:color w:val="auto"/>
          <w:spacing w:val="14"/>
          <w:sz w:val="28"/>
          <w:szCs w:val="28"/>
          <w:highlight w:val="none"/>
          <w:lang w:val="en-US" w:eastAsia="zh-CN"/>
        </w:rPr>
        <w:t>六、</w:t>
      </w:r>
      <w:r>
        <w:rPr>
          <w:rFonts w:hint="eastAsia" w:ascii="仿宋" w:hAnsi="仿宋" w:eastAsia="仿宋" w:cs="仿宋"/>
          <w:b/>
          <w:bCs/>
          <w:color w:val="auto"/>
          <w:spacing w:val="14"/>
          <w:sz w:val="28"/>
          <w:szCs w:val="28"/>
          <w:highlight w:val="none"/>
        </w:rPr>
        <w:t>技术服务要求</w:t>
      </w:r>
    </w:p>
    <w:p>
      <w:pPr>
        <w:pStyle w:val="4"/>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360" w:lineRule="auto"/>
        <w:ind w:firstLine="580" w:firstLineChars="200"/>
        <w:textAlignment w:val="auto"/>
        <w:outlineLvl w:val="3"/>
        <w:rPr>
          <w:rFonts w:hint="eastAsia" w:ascii="仿宋" w:hAnsi="仿宋" w:eastAsia="仿宋" w:cs="仿宋"/>
          <w:color w:val="auto"/>
          <w:spacing w:val="5"/>
          <w:sz w:val="28"/>
          <w:szCs w:val="28"/>
          <w:highlight w:val="none"/>
        </w:rPr>
      </w:pPr>
      <w:r>
        <w:rPr>
          <w:rFonts w:hint="eastAsia" w:ascii="仿宋" w:hAnsi="仿宋" w:eastAsia="仿宋" w:cs="仿宋"/>
          <w:color w:val="auto"/>
          <w:spacing w:val="5"/>
          <w:sz w:val="28"/>
          <w:szCs w:val="28"/>
          <w:highlight w:val="none"/>
        </w:rPr>
        <w:t>1、技术规格要求</w:t>
      </w:r>
    </w:p>
    <w:p>
      <w:pPr>
        <w:pStyle w:val="4"/>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360" w:lineRule="auto"/>
        <w:ind w:firstLine="580" w:firstLineChars="200"/>
        <w:jc w:val="center"/>
        <w:textAlignment w:val="auto"/>
        <w:outlineLvl w:val="3"/>
        <w:rPr>
          <w:rFonts w:hint="eastAsia" w:ascii="仿宋" w:hAnsi="仿宋" w:eastAsia="仿宋" w:cs="仿宋"/>
          <w:color w:val="auto"/>
          <w:spacing w:val="5"/>
          <w:sz w:val="28"/>
          <w:szCs w:val="28"/>
          <w:highlight w:val="none"/>
        </w:rPr>
      </w:pPr>
      <w:r>
        <w:rPr>
          <w:rFonts w:hint="eastAsia" w:ascii="仿宋" w:hAnsi="仿宋" w:eastAsia="仿宋" w:cs="仿宋"/>
          <w:color w:val="auto"/>
          <w:spacing w:val="5"/>
          <w:sz w:val="28"/>
          <w:szCs w:val="28"/>
          <w:highlight w:val="none"/>
        </w:rPr>
        <w:t>表2  综合楼污水站技术规格要求</w:t>
      </w:r>
    </w:p>
    <w:tbl>
      <w:tblPr>
        <w:tblStyle w:val="6"/>
        <w:tblW w:w="5046" w:type="pct"/>
        <w:tblInd w:w="10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07"/>
        <w:gridCol w:w="1470"/>
        <w:gridCol w:w="61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480" w:type="pct"/>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1" w:firstLineChars="200"/>
              <w:jc w:val="center"/>
              <w:textAlignment w:val="auto"/>
            </w:pPr>
            <w:r>
              <w:rPr>
                <w:rStyle w:val="8"/>
                <w:rFonts w:hint="eastAsia" w:ascii="宋体" w:hAnsi="宋体" w:eastAsia="宋体" w:cs="宋体"/>
                <w:sz w:val="18"/>
                <w:szCs w:val="18"/>
              </w:rPr>
              <w:t>序号</w:t>
            </w:r>
          </w:p>
        </w:tc>
        <w:tc>
          <w:tcPr>
            <w:tcW w:w="875" w:type="pct"/>
            <w:tcBorders>
              <w:top w:val="single" w:color="000000" w:sz="6" w:space="0"/>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1" w:firstLineChars="200"/>
              <w:jc w:val="center"/>
              <w:textAlignment w:val="auto"/>
            </w:pPr>
            <w:r>
              <w:rPr>
                <w:rStyle w:val="8"/>
                <w:rFonts w:hint="eastAsia" w:ascii="宋体" w:hAnsi="宋体" w:eastAsia="宋体" w:cs="宋体"/>
                <w:sz w:val="18"/>
                <w:szCs w:val="18"/>
              </w:rPr>
              <w:t>项目</w:t>
            </w:r>
          </w:p>
        </w:tc>
        <w:tc>
          <w:tcPr>
            <w:tcW w:w="3643" w:type="pct"/>
            <w:tcBorders>
              <w:top w:val="single" w:color="000000" w:sz="6" w:space="0"/>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1" w:firstLineChars="200"/>
              <w:jc w:val="center"/>
              <w:textAlignment w:val="auto"/>
            </w:pPr>
            <w:r>
              <w:rPr>
                <w:rStyle w:val="8"/>
                <w:rFonts w:hint="eastAsia" w:ascii="宋体" w:hAnsi="宋体" w:eastAsia="宋体" w:cs="宋体"/>
                <w:sz w:val="18"/>
                <w:szCs w:val="18"/>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480"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1</w:t>
            </w:r>
          </w:p>
        </w:tc>
        <w:tc>
          <w:tcPr>
            <w:tcW w:w="875"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处理量</w:t>
            </w:r>
          </w:p>
        </w:tc>
        <w:tc>
          <w:tcPr>
            <w:tcW w:w="3643"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600吨/日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480"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2</w:t>
            </w:r>
          </w:p>
        </w:tc>
        <w:tc>
          <w:tcPr>
            <w:tcW w:w="875"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center"/>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处理工艺</w:t>
            </w:r>
          </w:p>
        </w:tc>
        <w:tc>
          <w:tcPr>
            <w:tcW w:w="3643"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化粪池→格栅→调节池→水解酸化池→氧化接触池→沉淀池→消毒除→市政外排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480"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3</w:t>
            </w:r>
          </w:p>
        </w:tc>
        <w:tc>
          <w:tcPr>
            <w:tcW w:w="875"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设备材质</w:t>
            </w:r>
          </w:p>
        </w:tc>
        <w:tc>
          <w:tcPr>
            <w:tcW w:w="3643"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混凝土结构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480"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4</w:t>
            </w:r>
          </w:p>
        </w:tc>
        <w:tc>
          <w:tcPr>
            <w:tcW w:w="875"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电源电压</w:t>
            </w:r>
          </w:p>
        </w:tc>
        <w:tc>
          <w:tcPr>
            <w:tcW w:w="3643"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380V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480"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5</w:t>
            </w:r>
          </w:p>
        </w:tc>
        <w:tc>
          <w:tcPr>
            <w:tcW w:w="875"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安装方式</w:t>
            </w:r>
          </w:p>
        </w:tc>
        <w:tc>
          <w:tcPr>
            <w:tcW w:w="3643"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地下式安装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480"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6</w:t>
            </w:r>
          </w:p>
        </w:tc>
        <w:tc>
          <w:tcPr>
            <w:tcW w:w="875"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控制要求</w:t>
            </w:r>
          </w:p>
        </w:tc>
        <w:tc>
          <w:tcPr>
            <w:tcW w:w="3643"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全自动运行，可手自动运行切换</w:t>
            </w:r>
          </w:p>
        </w:tc>
      </w:tr>
    </w:tbl>
    <w:p>
      <w:pPr>
        <w:pStyle w:val="4"/>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360" w:lineRule="auto"/>
        <w:ind w:firstLine="580" w:firstLineChars="200"/>
        <w:jc w:val="center"/>
        <w:textAlignment w:val="auto"/>
        <w:outlineLvl w:val="3"/>
        <w:rPr>
          <w:rFonts w:hint="eastAsia" w:ascii="仿宋" w:hAnsi="仿宋" w:eastAsia="仿宋" w:cs="仿宋"/>
          <w:color w:val="auto"/>
          <w:spacing w:val="5"/>
          <w:sz w:val="28"/>
          <w:szCs w:val="28"/>
          <w:highlight w:val="none"/>
        </w:rPr>
      </w:pPr>
      <w:r>
        <w:rPr>
          <w:rFonts w:hint="eastAsia" w:ascii="仿宋" w:hAnsi="仿宋" w:eastAsia="仿宋" w:cs="仿宋"/>
          <w:color w:val="auto"/>
          <w:spacing w:val="5"/>
          <w:sz w:val="28"/>
          <w:szCs w:val="28"/>
          <w:highlight w:val="none"/>
        </w:rPr>
        <w:t>表3 感染楼污水站技术规格要求</w:t>
      </w:r>
    </w:p>
    <w:tbl>
      <w:tblPr>
        <w:tblStyle w:val="6"/>
        <w:tblW w:w="500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06"/>
        <w:gridCol w:w="1468"/>
        <w:gridCol w:w="6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484" w:type="pct"/>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1" w:firstLineChars="200"/>
              <w:jc w:val="center"/>
              <w:textAlignment w:val="auto"/>
            </w:pPr>
            <w:r>
              <w:rPr>
                <w:rStyle w:val="8"/>
                <w:rFonts w:hint="eastAsia" w:ascii="宋体" w:hAnsi="宋体" w:eastAsia="宋体" w:cs="宋体"/>
                <w:sz w:val="18"/>
                <w:szCs w:val="18"/>
              </w:rPr>
              <w:t>序号</w:t>
            </w:r>
          </w:p>
        </w:tc>
        <w:tc>
          <w:tcPr>
            <w:tcW w:w="881" w:type="pct"/>
            <w:tcBorders>
              <w:top w:val="single" w:color="000000" w:sz="6" w:space="0"/>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1" w:firstLineChars="200"/>
              <w:jc w:val="center"/>
              <w:textAlignment w:val="auto"/>
            </w:pPr>
            <w:r>
              <w:rPr>
                <w:rStyle w:val="8"/>
                <w:rFonts w:hint="eastAsia" w:ascii="宋体" w:hAnsi="宋体" w:eastAsia="宋体" w:cs="宋体"/>
                <w:sz w:val="18"/>
                <w:szCs w:val="18"/>
              </w:rPr>
              <w:t>项目</w:t>
            </w:r>
          </w:p>
        </w:tc>
        <w:tc>
          <w:tcPr>
            <w:tcW w:w="3634" w:type="pct"/>
            <w:tcBorders>
              <w:top w:val="single" w:color="000000" w:sz="6" w:space="0"/>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361" w:firstLineChars="200"/>
              <w:jc w:val="center"/>
              <w:textAlignment w:val="auto"/>
            </w:pPr>
            <w:r>
              <w:rPr>
                <w:rStyle w:val="8"/>
                <w:rFonts w:hint="eastAsia" w:ascii="宋体" w:hAnsi="宋体" w:eastAsia="宋体" w:cs="宋体"/>
                <w:sz w:val="18"/>
                <w:szCs w:val="18"/>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484"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1</w:t>
            </w:r>
          </w:p>
        </w:tc>
        <w:tc>
          <w:tcPr>
            <w:tcW w:w="881"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处理量</w:t>
            </w:r>
          </w:p>
        </w:tc>
        <w:tc>
          <w:tcPr>
            <w:tcW w:w="3634"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150吨/日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484"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2</w:t>
            </w:r>
          </w:p>
        </w:tc>
        <w:tc>
          <w:tcPr>
            <w:tcW w:w="881"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center"/>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处理工艺</w:t>
            </w:r>
          </w:p>
        </w:tc>
        <w:tc>
          <w:tcPr>
            <w:tcW w:w="3634"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化粪池→格栅→调节池→厌氧池→缺氧池→好氧池→MBR膜池→消毒池→市政外排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484"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3</w:t>
            </w:r>
          </w:p>
        </w:tc>
        <w:tc>
          <w:tcPr>
            <w:tcW w:w="881"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设备材质</w:t>
            </w:r>
          </w:p>
        </w:tc>
        <w:tc>
          <w:tcPr>
            <w:tcW w:w="3634"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设备主体采用碳钢防腐材质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484"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4</w:t>
            </w:r>
          </w:p>
        </w:tc>
        <w:tc>
          <w:tcPr>
            <w:tcW w:w="881"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电源电压</w:t>
            </w:r>
          </w:p>
        </w:tc>
        <w:tc>
          <w:tcPr>
            <w:tcW w:w="3634"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380V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484"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5</w:t>
            </w:r>
          </w:p>
        </w:tc>
        <w:tc>
          <w:tcPr>
            <w:tcW w:w="881"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安装方式</w:t>
            </w:r>
          </w:p>
        </w:tc>
        <w:tc>
          <w:tcPr>
            <w:tcW w:w="3634"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地下式安装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484" w:type="pct"/>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6</w:t>
            </w:r>
          </w:p>
        </w:tc>
        <w:tc>
          <w:tcPr>
            <w:tcW w:w="881"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控制要求</w:t>
            </w:r>
          </w:p>
        </w:tc>
        <w:tc>
          <w:tcPr>
            <w:tcW w:w="3634" w:type="pct"/>
            <w:tcBorders>
              <w:top w:val="nil"/>
              <w:left w:val="nil"/>
              <w:bottom w:val="single" w:color="000000" w:sz="6" w:space="0"/>
              <w:right w:val="single" w:color="000000" w:sz="6" w:space="0"/>
            </w:tcBorders>
            <w:shd w:val="clear" w:color="auto" w:fill="auto"/>
            <w:tcMar>
              <w:top w:w="0" w:type="dxa"/>
              <w:left w:w="0" w:type="dxa"/>
              <w:bottom w:w="0" w:type="dxa"/>
              <w:right w:w="0" w:type="dxa"/>
            </w:tcMar>
            <w:vAlign w:val="top"/>
          </w:tcPr>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05" w:right="0" w:firstLine="440" w:firstLineChars="200"/>
              <w:jc w:val="center"/>
              <w:textAlignment w:val="auto"/>
              <w:rPr>
                <w:rFonts w:hint="eastAsia" w:ascii="仿宋" w:hAnsi="仿宋" w:eastAsia="仿宋" w:cs="仿宋"/>
                <w:color w:val="auto"/>
                <w:spacing w:val="5"/>
                <w:kern w:val="2"/>
                <w:sz w:val="21"/>
                <w:szCs w:val="21"/>
                <w:highlight w:val="none"/>
                <w:lang w:val="zh-CN" w:eastAsia="zh-CN" w:bidi="zh-CN"/>
              </w:rPr>
            </w:pPr>
            <w:r>
              <w:rPr>
                <w:rFonts w:hint="eastAsia" w:ascii="仿宋" w:hAnsi="仿宋" w:eastAsia="仿宋" w:cs="仿宋"/>
                <w:color w:val="auto"/>
                <w:spacing w:val="5"/>
                <w:kern w:val="2"/>
                <w:sz w:val="21"/>
                <w:szCs w:val="21"/>
                <w:highlight w:val="none"/>
                <w:lang w:val="zh-CN" w:eastAsia="zh-CN" w:bidi="zh-CN"/>
              </w:rPr>
              <w:t>全自动运行，可手自动运行切换</w:t>
            </w:r>
          </w:p>
        </w:tc>
      </w:tr>
    </w:tbl>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580" w:firstLineChars="200"/>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2、技术服务要求</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一）运行处理要求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1、污水处理站设备、设施的正常运行、日常维护与保养等，有效地提高污水处理站的运行效率，降低经济投资风险，环保风险，使污水处理站有效的稳定运行；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2、负责院区医疗污水、废水的集中处理，确保污水排放水质符合《医疗机构水污染物排放标准》（GB18466-2005）预处理标准要求，医疗污泥采取切实可行的方式进行处置并交由有资质的第三方按规范处理，污水处理站周边大气及噪声符合相关标准。</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3、服从环保部门及医院的监督管理，按照我院排污许可证副本中对排污单位自行监测要求内容，进行相应监测和检测并出具合格报告。</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4、每天专人进行污水处理，填写污水处理站运行情况记录表，按月报送医院存档；按照环保部门、医院各职能部门的要求上报和汇总数据材料。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5、承包方自行采购合格的消毒用品、自行监测试剂、各类预防和防护用品、用具、及化验检测设备、维修维护设备等，做好相应的保管及使用，确保项目运行中各环节的安全。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（二）设备管理及维护要求：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1、设备管理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1.1 使用好设备，各种设备都要有操作规程，规定操作步骤。设备操作规程主要根据设备制造厂的说明书和现场情况而制定。操作人员必须严格按照操作规程进行操作，同时做好工况记录。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1.2 保养好设备，各种设备都应制订保养计划，保养计划根据设备制造厂的说明书和现场情况结合而制定。保养计划中包括进行清洁、调整、紧固、润滑和防腐等内容。保养工作同样应作记录。保养分为：例行保养、定期保养、停放保养、换季保养。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1.3 检修好设备，对主要设备应制订设备检修标准和计划，通过检修，恢复技术性能。有些设备，要明确大、中、小修界限，分工落实。对主要设备必须明确检修周期，实行定期检修。对常规修理，应制订检修工料定额，以降低检修成本。每次检修都应作详细记录。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1.4 管理好设备，管理好设备是指从设备购置、安装、调试、验收、使用、保养、检修直到报废以及更新全过程的管理工作。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2、设备的完好标准和修理周期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2.1 制定设备的完好标准和修理周期，污水处理站设备的完好程度是衡量污水处理站管理水平的重要方面。以下列标准作为完好标准：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2.1.1、设备性能良好，各主要技术性能达到原设计或最低限度应满足污水处理生产工艺要求。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2.1.2、操作控制的安全系统装置齐全、动作灵敏可靠。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2.1.3、运行稳定，无异常振动和噪音。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2.1.4、电器设备的绝缘程度和安全防护装置应符合电器安全规程。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2.1.5、设备的通风、散热和冷却、隔音系统齐全完整，效果良好，温升在额定范围内。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2.1.6、设备内外整洁，润滑良好，无泄露。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2.1.7、运转记录，技术资料齐全。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2.2 设备使用一段时间以后，必须进行小修、中修或大修。有些设备，制造厂明确规定了它的小修、大修期限；有的设备没有明确规定，那就必须根据设备的复杂性、易损零部件的耐用度以及本站的保养条件确定修理周期。修理周期是指设备的两次修理之间的工作时间，污水处理厂设备的大修周期应根据具体设备使用手册决定。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3、建立完善的设备档案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设备档案包括技术资料、运行记录、维修记录三个部分。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第一部分是设备的说明书、图纸资料、出厂合格证明、安装记录、安装及试运行阶段的修改洽谈记录、验收记录等。</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第二部分档案是对设备每日运行状况的记录，由运行操作人员填写。如每台设备的每日运行时间、运行状况、累计运行时间，每次加油的时间，加油部位、品种、数量，故障发生的时间及详细情况，易损件的更换情况等。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第三部分是设备维修档案，包括大、中修的时间，维修中发现的问题、处理方法等。由维修人员及设备管理技术人员填写。设备使用一段时间以后，必须进行小修、中修或大修。根据以上三部分档案，设备管理技术人员可对设备运行状况和事故进行综合分析，据此对下一步维修保养提出要求。可以此为依据制定出设备维修计划或设备更新计划。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4、做好设备的现场巡回检查污水处理厂的大型工艺设备分布分散，且大部分处于露天或者半露天位置，因此建立并严格地执行巡回检查制度就显得格外重要。在控制室，对设备实现远距离监控的同时，对全厂设备实行 2 小时现场巡回检查一次，通过巡查及时发现设备有异常情况，如卡死、异常声响、堵塞、异常发热等，及时停机采取措施，承包方应在 1 小时内解决问题。对工艺设备的安全运行必须提前预见可能出现的灾害性天气，及时采取预防措施。如雨雪即将来临时，应着重检查设备的防雨措施，特别是电器、油箱、齿轮箱是否可能进水；冬季即将来临时，应检查防冻措施。雨雪后应及时清除设备及行走路线上的积水，配电箱、集电环条、变速箱、控制箱、液压油箱内如不慎进水应及时采取措施。以确保设备保持长期、稳定、正常的运行，设备各运转部位处于良好的润滑状态。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5、做好设备的日常维护与保养制定设备全年维护、保养、检修计划，并按期进行检修保养，单处或单个零配件产生的材料和人工费、维修费用 500 元以内由全部承包方承担。若产生500元以上的费用则由采购人承担。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（三）人员配置及管理制度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1、为确保污水处理站安全平稳运行，第三方运营公司须按照以下原则进行人员配置：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1.1 站区要求 24 小时有人值守，人员总数不少于 5 人，日常工作每班配备人员2人；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2、技术培训要求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2.1 承包方应组织对运行维护管理人员进行技术培训，使其了解处理工艺，熟悉本岗位设施、设备的运行要求和技术指标，熟悉掌握本岗位工作技能。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2.2 培训内容包括：污水处理基本理论、水污染控制法规与标准、污水处理机电设备、污水处理站自动化控制的基本知识、污水处理站的管理制度和操作规程、各工种的专业培训等。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2.3 在运行维护管理过程中，承包方应不定期的对运行维护管理人员进行培训，使其掌握新的专业知识和技能。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3、制度要求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3.1 承包方应制定相关管理办法及考核标准，根据采购人管理办法制定具体的管理制度、相关岗位工作职责、运行维护管理制度、操作规程、安全规程、纪律规范等，组织协调好日常运行管理工作，确保运行管理服务工作高质量完成。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3.2 承包方应建立运营期间各类紧急情况下的应急预案，以应对和处理各种突发事件如战争、自然灾害、疫情、涉及发生危害周边设施财产、生态环境及人员生命的公共安全事故等。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（四）安全防护、文明运行的要求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1、承包方必须落实安全生产措施，按采购人以及有关部门的要求，维护作业人员上岗前必须进行安全教育和技术培训，为上岗工人配置统一的工作服和安全防护用品，自行解决安全作业问题。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2、承包方应按实际上岗人数自行到有关部门申办有关用工手续，为员工劳动购买保险手续和办理暂住证等手续，安排好下属人员的住宿和安全教育管理工作。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3、本项目用电未经采购人以及有关部门的同意，承包方不得擅自改变原供电线路和接线路挪作他用。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4、承包方按要求定期进行安全隐患排查工作，杜绝任何用电设施发生漏电现象，确保安全、正常运行。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5、承包方在检查维护水泵、闸阀门、管道、集水池等设备设施时，必须采取防硫化氢等有毒有害气体的安全措施。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6、承包方做好安全标示、防护等工作，确保人员安全。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 xml:space="preserve">7、安全生产：承包方应按照国家及地方有关安全生产的法律、法规制定安全生产规章制度和措施，制定应急预案，建立安全生产教育和检查机构，并定期向我院汇报，接受检查并按照我院的意见进行整改。 </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8、本项目的安全生产责任由承包方承担。</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3、运行服务要求</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3.1 在污水处理设备运营期内，供应商确保设备的正常使用，采购人按综合楼污水处理站确保污水排放水质符合《医疗机构水污染物排放标准》（GB18466-2005）表2预处理标准要求，感染楼污水处理站确保污水排放水质符合《医疗机构水污染物排放标准》（GB18466-2005）表1排放标准限值要求，委托第三方检测机构对处理后的污水水质进行检测。</w:t>
      </w:r>
    </w:p>
    <w:p>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360" w:lineRule="auto"/>
        <w:ind w:left="0" w:firstLine="580" w:firstLineChars="200"/>
        <w:jc w:val="both"/>
        <w:textAlignment w:val="auto"/>
        <w:rPr>
          <w:rFonts w:hint="eastAsia" w:ascii="仿宋" w:hAnsi="仿宋" w:eastAsia="仿宋" w:cs="仿宋"/>
          <w:color w:val="auto"/>
          <w:spacing w:val="5"/>
          <w:kern w:val="2"/>
          <w:sz w:val="28"/>
          <w:szCs w:val="28"/>
          <w:highlight w:val="none"/>
          <w:lang w:val="zh-CN" w:eastAsia="zh-CN" w:bidi="zh-CN"/>
        </w:rPr>
      </w:pPr>
      <w:r>
        <w:rPr>
          <w:rFonts w:hint="eastAsia" w:ascii="仿宋" w:hAnsi="仿宋" w:eastAsia="仿宋" w:cs="仿宋"/>
          <w:color w:val="auto"/>
          <w:spacing w:val="5"/>
          <w:kern w:val="2"/>
          <w:sz w:val="28"/>
          <w:szCs w:val="28"/>
          <w:highlight w:val="none"/>
          <w:lang w:val="zh-CN" w:eastAsia="zh-CN" w:bidi="zh-CN"/>
        </w:rPr>
        <w:t>3.2 在服务期间，如因供应商管理、操作或经营不善等原因造成的人员安全事故、环境安全事故等一系列安全事故问题，均由供应商自行承担。</w:t>
      </w:r>
    </w:p>
    <w:p>
      <w:pPr>
        <w:keepNext w:val="0"/>
        <w:keepLines w:val="0"/>
        <w:pageBreakBefore w:val="0"/>
        <w:numPr>
          <w:ilvl w:val="0"/>
          <w:numId w:val="0"/>
        </w:numPr>
        <w:kinsoku/>
        <w:wordWrap/>
        <w:overflowPunct/>
        <w:topLinePunct w:val="0"/>
        <w:bidi w:val="0"/>
        <w:adjustRightInd w:val="0"/>
        <w:snapToGrid w:val="0"/>
        <w:spacing w:beforeAutospacing="0" w:line="360" w:lineRule="auto"/>
        <w:ind w:firstLine="562" w:firstLineChars="200"/>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color w:val="auto"/>
          <w:kern w:val="2"/>
          <w:sz w:val="28"/>
          <w:szCs w:val="28"/>
          <w:highlight w:val="none"/>
          <w:lang w:val="en-US" w:eastAsia="zh-CN" w:bidi="ar-SA"/>
        </w:rPr>
        <w:t>七、</w:t>
      </w:r>
      <w:r>
        <w:rPr>
          <w:rFonts w:hint="eastAsia" w:ascii="仿宋" w:hAnsi="仿宋" w:eastAsia="仿宋" w:cs="仿宋"/>
          <w:b/>
          <w:bCs w:val="0"/>
          <w:color w:val="auto"/>
          <w:sz w:val="28"/>
          <w:szCs w:val="28"/>
          <w:highlight w:val="none"/>
        </w:rPr>
        <w:t>违约责任</w:t>
      </w:r>
    </w:p>
    <w:p>
      <w:pPr>
        <w:pStyle w:val="10"/>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highlight w:val="none"/>
          <w:lang w:val="en-US" w:eastAsia="zh-CN"/>
        </w:rPr>
      </w:pPr>
      <w:r>
        <w:rPr>
          <w:rStyle w:val="11"/>
          <w:rFonts w:hint="eastAsia" w:ascii="仿宋" w:hAnsi="仿宋" w:eastAsia="仿宋" w:cs="仿宋"/>
          <w:b w:val="0"/>
          <w:bCs w:val="0"/>
          <w:color w:val="auto"/>
          <w:highlight w:val="none"/>
          <w:lang w:val="en-US" w:eastAsia="zh-CN"/>
        </w:rPr>
        <w:t>1.按《民法典》中的相关条款执行。</w:t>
      </w:r>
    </w:p>
    <w:p>
      <w:pPr>
        <w:pStyle w:val="10"/>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highlight w:val="none"/>
        </w:rPr>
      </w:pPr>
      <w:r>
        <w:rPr>
          <w:rStyle w:val="11"/>
          <w:rFonts w:hint="eastAsia" w:ascii="仿宋" w:hAnsi="仿宋" w:eastAsia="仿宋" w:cs="仿宋"/>
          <w:b w:val="0"/>
          <w:bCs w:val="0"/>
          <w:color w:val="auto"/>
          <w:highlight w:val="none"/>
          <w:lang w:val="en-US" w:eastAsia="zh-CN"/>
        </w:rPr>
        <w:t>2.</w:t>
      </w:r>
      <w:r>
        <w:rPr>
          <w:rStyle w:val="11"/>
          <w:rFonts w:hint="eastAsia" w:ascii="仿宋" w:hAnsi="仿宋" w:eastAsia="仿宋" w:cs="仿宋"/>
          <w:b w:val="0"/>
          <w:bCs w:val="0"/>
          <w:color w:val="auto"/>
          <w:highlight w:val="none"/>
        </w:rPr>
        <w:t>未按合同要求提供服务或服务质量不能满足合同要求，甲方有权依据《民法典》有关条款及合同约定终止合同，并要求乙方承担违约责任。</w:t>
      </w:r>
    </w:p>
    <w:p>
      <w:pPr>
        <w:pStyle w:val="10"/>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highlight w:val="none"/>
        </w:rPr>
      </w:pPr>
      <w:r>
        <w:rPr>
          <w:rStyle w:val="11"/>
          <w:rFonts w:hint="eastAsia" w:ascii="仿宋" w:hAnsi="仿宋" w:eastAsia="仿宋" w:cs="仿宋"/>
          <w:b w:val="0"/>
          <w:bCs w:val="0"/>
          <w:color w:val="auto"/>
          <w:highlight w:val="none"/>
          <w:lang w:val="en-US" w:eastAsia="zh-CN"/>
        </w:rPr>
        <w:t>3.</w:t>
      </w:r>
      <w:r>
        <w:rPr>
          <w:rStyle w:val="11"/>
          <w:rFonts w:hint="eastAsia" w:ascii="仿宋" w:hAnsi="仿宋" w:eastAsia="仿宋" w:cs="仿宋"/>
          <w:b w:val="0"/>
          <w:bCs w:val="0"/>
          <w:color w:val="auto"/>
          <w:highlight w:val="none"/>
        </w:rPr>
        <w:t>在本合同履行过程中，双方因违约或造成对方经济等损失的应当赔偿。</w:t>
      </w:r>
    </w:p>
    <w:p>
      <w:pPr>
        <w:pStyle w:val="10"/>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highlight w:val="none"/>
        </w:rPr>
      </w:pPr>
      <w:r>
        <w:rPr>
          <w:rStyle w:val="11"/>
          <w:rFonts w:hint="eastAsia" w:ascii="仿宋" w:hAnsi="仿宋" w:eastAsia="仿宋" w:cs="仿宋"/>
          <w:b w:val="0"/>
          <w:bCs w:val="0"/>
          <w:color w:val="auto"/>
          <w:highlight w:val="none"/>
          <w:lang w:val="en-US" w:eastAsia="zh-CN"/>
        </w:rPr>
        <w:t>4.</w:t>
      </w:r>
      <w:r>
        <w:rPr>
          <w:rStyle w:val="11"/>
          <w:rFonts w:hint="eastAsia" w:ascii="仿宋" w:hAnsi="仿宋" w:eastAsia="仿宋" w:cs="仿宋"/>
          <w:b w:val="0"/>
          <w:bCs w:val="0"/>
          <w:color w:val="auto"/>
          <w:highlight w:val="none"/>
        </w:rPr>
        <w:t>乙方提供的服务不符合本项目相关文件和本合同规定的，甲方有权拒绝，并且乙方须向甲方支付本合同总价款</w:t>
      </w:r>
      <w:r>
        <w:rPr>
          <w:rStyle w:val="11"/>
          <w:rFonts w:hint="eastAsia" w:ascii="仿宋" w:hAnsi="仿宋" w:eastAsia="仿宋" w:cs="仿宋"/>
          <w:b w:val="0"/>
          <w:bCs w:val="0"/>
          <w:color w:val="auto"/>
          <w:highlight w:val="none"/>
          <w:u w:val="single"/>
        </w:rPr>
        <w:t xml:space="preserve"> </w:t>
      </w:r>
      <w:r>
        <w:rPr>
          <w:rStyle w:val="11"/>
          <w:rFonts w:hint="eastAsia" w:ascii="仿宋" w:hAnsi="仿宋" w:eastAsia="仿宋" w:cs="仿宋"/>
          <w:b w:val="0"/>
          <w:bCs w:val="0"/>
          <w:color w:val="auto"/>
          <w:highlight w:val="none"/>
          <w:u w:val="single"/>
          <w:lang w:val="en-US" w:eastAsia="zh-CN"/>
        </w:rPr>
        <w:t>5</w:t>
      </w:r>
      <w:r>
        <w:rPr>
          <w:rStyle w:val="11"/>
          <w:rFonts w:hint="eastAsia" w:ascii="仿宋" w:hAnsi="仿宋" w:eastAsia="仿宋" w:cs="仿宋"/>
          <w:b w:val="0"/>
          <w:bCs w:val="0"/>
          <w:color w:val="auto"/>
          <w:highlight w:val="none"/>
          <w:u w:val="single"/>
        </w:rPr>
        <w:t xml:space="preserve"> %</w:t>
      </w:r>
      <w:r>
        <w:rPr>
          <w:rStyle w:val="11"/>
          <w:rFonts w:hint="eastAsia" w:ascii="仿宋" w:hAnsi="仿宋" w:eastAsia="仿宋" w:cs="仿宋"/>
          <w:b w:val="0"/>
          <w:bCs w:val="0"/>
          <w:color w:val="auto"/>
          <w:highlight w:val="none"/>
        </w:rPr>
        <w:t>的违约金。</w:t>
      </w:r>
    </w:p>
    <w:p>
      <w:pPr>
        <w:pStyle w:val="10"/>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highlight w:val="none"/>
        </w:rPr>
      </w:pPr>
      <w:r>
        <w:rPr>
          <w:rStyle w:val="11"/>
          <w:rFonts w:hint="eastAsia" w:ascii="仿宋" w:hAnsi="仿宋" w:eastAsia="仿宋" w:cs="仿宋"/>
          <w:b w:val="0"/>
          <w:bCs w:val="0"/>
          <w:color w:val="auto"/>
          <w:highlight w:val="none"/>
          <w:lang w:val="en-US" w:eastAsia="zh-CN"/>
        </w:rPr>
        <w:t>5.</w:t>
      </w:r>
      <w:r>
        <w:rPr>
          <w:rStyle w:val="11"/>
          <w:rFonts w:hint="eastAsia" w:ascii="仿宋" w:hAnsi="仿宋" w:eastAsia="仿宋" w:cs="仿宋"/>
          <w:b w:val="0"/>
          <w:bCs w:val="0"/>
          <w:color w:val="auto"/>
          <w:highlight w:val="none"/>
        </w:rPr>
        <w:t>乙方未能按照本合同约定时间提供服务或完成约定的项目服务内容的，从逾期之日起每日按本合同总价款</w:t>
      </w:r>
      <w:r>
        <w:rPr>
          <w:rStyle w:val="11"/>
          <w:rFonts w:hint="eastAsia" w:ascii="仿宋" w:hAnsi="仿宋" w:eastAsia="仿宋" w:cs="仿宋"/>
          <w:b w:val="0"/>
          <w:bCs w:val="0"/>
          <w:color w:val="auto"/>
          <w:highlight w:val="none"/>
          <w:u w:val="single"/>
        </w:rPr>
        <w:t xml:space="preserve"> </w:t>
      </w:r>
      <w:r>
        <w:rPr>
          <w:rStyle w:val="11"/>
          <w:rFonts w:hint="eastAsia" w:ascii="仿宋" w:hAnsi="仿宋" w:eastAsia="仿宋" w:cs="仿宋"/>
          <w:b w:val="0"/>
          <w:bCs w:val="0"/>
          <w:color w:val="auto"/>
          <w:highlight w:val="none"/>
          <w:u w:val="single"/>
          <w:lang w:val="en-US" w:eastAsia="zh-CN"/>
        </w:rPr>
        <w:t>2</w:t>
      </w:r>
      <w:r>
        <w:rPr>
          <w:rStyle w:val="11"/>
          <w:rFonts w:hint="eastAsia" w:ascii="仿宋" w:hAnsi="仿宋" w:eastAsia="仿宋" w:cs="仿宋"/>
          <w:b w:val="0"/>
          <w:bCs w:val="0"/>
          <w:color w:val="auto"/>
          <w:highlight w:val="none"/>
          <w:u w:val="single"/>
        </w:rPr>
        <w:t xml:space="preserve"> %</w:t>
      </w:r>
      <w:r>
        <w:rPr>
          <w:rStyle w:val="11"/>
          <w:rFonts w:hint="eastAsia" w:ascii="仿宋" w:hAnsi="仿宋" w:eastAsia="仿宋" w:cs="仿宋"/>
          <w:b w:val="0"/>
          <w:bCs w:val="0"/>
          <w:color w:val="auto"/>
          <w:highlight w:val="none"/>
        </w:rPr>
        <w:t>的数额向甲方支付违约金；逾期10日以上的，甲方有权终止合同，由此造成的甲方经济损失由乙方承担。</w:t>
      </w:r>
    </w:p>
    <w:p>
      <w:pPr>
        <w:pStyle w:val="10"/>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bCs/>
          <w:color w:val="auto"/>
          <w:sz w:val="28"/>
          <w:szCs w:val="28"/>
          <w:highlight w:val="none"/>
        </w:rPr>
      </w:pPr>
      <w:r>
        <w:rPr>
          <w:rStyle w:val="11"/>
          <w:rFonts w:hint="eastAsia" w:ascii="仿宋" w:hAnsi="仿宋" w:eastAsia="仿宋" w:cs="仿宋"/>
          <w:b w:val="0"/>
          <w:bCs w:val="0"/>
          <w:color w:val="auto"/>
          <w:highlight w:val="none"/>
          <w:lang w:val="en-US" w:eastAsia="zh-CN"/>
        </w:rPr>
        <w:t>6.</w:t>
      </w:r>
      <w:r>
        <w:rPr>
          <w:rStyle w:val="11"/>
          <w:rFonts w:hint="eastAsia" w:ascii="仿宋" w:hAnsi="仿宋" w:eastAsia="仿宋" w:cs="仿宋"/>
          <w:b w:val="0"/>
          <w:bCs w:val="0"/>
          <w:color w:val="auto"/>
          <w:highlight w:val="none"/>
        </w:rPr>
        <w:t>未经甲方同意，乙方不得擅自将本合同服务转包第三方承担。</w:t>
      </w:r>
    </w:p>
    <w:p>
      <w:pPr>
        <w:keepNext w:val="0"/>
        <w:keepLines w:val="0"/>
        <w:pageBreakBefore w:val="0"/>
        <w:tabs>
          <w:tab w:val="left" w:pos="420"/>
          <w:tab w:val="left" w:pos="709"/>
        </w:tabs>
        <w:kinsoku/>
        <w:wordWrap/>
        <w:overflowPunct/>
        <w:topLinePunct w:val="0"/>
        <w:bidi w:val="0"/>
        <w:adjustRightInd w:val="0"/>
        <w:snapToGrid w:val="0"/>
        <w:spacing w:beforeAutospacing="0" w:line="360" w:lineRule="auto"/>
        <w:ind w:firstLine="562" w:firstLineChars="200"/>
        <w:textAlignment w:val="auto"/>
        <w:rPr>
          <w:rStyle w:val="11"/>
          <w:rFonts w:hint="eastAsia" w:ascii="仿宋" w:hAnsi="仿宋" w:eastAsia="仿宋" w:cs="仿宋"/>
          <w:b/>
          <w:bCs/>
          <w:color w:val="auto"/>
          <w:highlight w:val="none"/>
          <w:lang w:val="en-US" w:eastAsia="zh-CN"/>
        </w:rPr>
      </w:pPr>
      <w:r>
        <w:rPr>
          <w:rStyle w:val="11"/>
          <w:rFonts w:hint="eastAsia" w:ascii="仿宋" w:hAnsi="仿宋" w:eastAsia="仿宋" w:cs="仿宋"/>
          <w:b/>
          <w:bCs/>
          <w:color w:val="auto"/>
          <w:highlight w:val="none"/>
          <w:lang w:val="en-US" w:eastAsia="zh-CN"/>
        </w:rPr>
        <w:t>八、争议解决：</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kern w:val="2"/>
          <w:highlight w:val="none"/>
          <w:lang w:val="en-US" w:eastAsia="zh-CN" w:bidi="ar-SA"/>
        </w:rPr>
      </w:pPr>
      <w:r>
        <w:rPr>
          <w:rStyle w:val="11"/>
          <w:rFonts w:hint="eastAsia" w:ascii="仿宋" w:hAnsi="仿宋" w:eastAsia="仿宋" w:cs="仿宋"/>
          <w:b w:val="0"/>
          <w:bCs w:val="0"/>
          <w:color w:val="auto"/>
          <w:kern w:val="2"/>
          <w:highlight w:val="none"/>
          <w:lang w:val="en-US" w:eastAsia="zh-CN" w:bidi="ar-SA"/>
        </w:rPr>
        <w:t>因协议产生的任何争端或纠纷，双方均应以互谅合作的精神协商解决。如果不能通过协调解决，任何一方均可向甲方所在地人民法院提出诉讼。</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kern w:val="2"/>
          <w:highlight w:val="none"/>
          <w:lang w:val="en-US" w:eastAsia="zh-CN" w:bidi="ar-SA"/>
        </w:rPr>
      </w:pPr>
      <w:r>
        <w:rPr>
          <w:rStyle w:val="11"/>
          <w:rFonts w:hint="eastAsia" w:ascii="仿宋" w:hAnsi="仿宋" w:eastAsia="仿宋" w:cs="仿宋"/>
          <w:b w:val="0"/>
          <w:bCs w:val="0"/>
          <w:color w:val="auto"/>
          <w:kern w:val="2"/>
          <w:highlight w:val="none"/>
          <w:lang w:val="en-US" w:eastAsia="zh-CN" w:bidi="ar-SA"/>
        </w:rPr>
        <w:t>九、乙方银行账号如下：</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kern w:val="2"/>
          <w:highlight w:val="none"/>
          <w:lang w:val="en-US" w:eastAsia="zh-CN" w:bidi="ar-SA"/>
        </w:rPr>
      </w:pPr>
      <w:r>
        <w:rPr>
          <w:rStyle w:val="11"/>
          <w:rFonts w:hint="eastAsia" w:ascii="仿宋" w:hAnsi="仿宋" w:eastAsia="仿宋" w:cs="仿宋"/>
          <w:b w:val="0"/>
          <w:bCs w:val="0"/>
          <w:color w:val="auto"/>
          <w:kern w:val="2"/>
          <w:highlight w:val="none"/>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934720</wp:posOffset>
                </wp:positionH>
                <wp:positionV relativeFrom="paragraph">
                  <wp:posOffset>349250</wp:posOffset>
                </wp:positionV>
                <wp:extent cx="3442970" cy="0"/>
                <wp:effectExtent l="0" t="6350" r="0" b="6350"/>
                <wp:wrapNone/>
                <wp:docPr id="206390736" name="直接连接符 2"/>
                <wp:cNvGraphicFramePr/>
                <a:graphic xmlns:a="http://schemas.openxmlformats.org/drawingml/2006/main">
                  <a:graphicData uri="http://schemas.microsoft.com/office/word/2010/wordprocessingShape">
                    <wps:wsp>
                      <wps:cNvCnPr/>
                      <wps:spPr>
                        <a:xfrm>
                          <a:off x="0" y="0"/>
                          <a:ext cx="34429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 o:spid="_x0000_s1026" o:spt="20" style="position:absolute;left:0pt;margin-left:73.6pt;margin-top:27.5pt;height:0pt;width:271.1pt;z-index:251661312;mso-width-relative:page;mso-height-relative:page;" filled="f" stroked="t" coordsize="21600,21600" o:gfxdata="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Ph&#10;7kLYAAAACQEAAA8AAAAAAAAAAQAgAAAAIgAAAGRycy9kb3ducmV2LnhtbFBLAQIUABQAAAAIAIdO&#10;4kBZ0DLh6gEAALoDAAAOAAAAAAAAAAEAIAAAACcBAABkcnMvZTJvRG9jLnhtbFBLBQYAAAAABgAG&#10;AFkBAACDBQAAAAA=&#10;">
                <v:fill on="f" focussize="0,0"/>
                <v:stroke weight="1pt" color="#000000 [3213]" miterlimit="8" joinstyle="miter"/>
                <v:imagedata o:title=""/>
                <o:lock v:ext="edit" aspectratio="f"/>
              </v:line>
            </w:pict>
          </mc:Fallback>
        </mc:AlternateContent>
      </w:r>
      <w:r>
        <w:rPr>
          <w:rStyle w:val="11"/>
          <w:rFonts w:hint="eastAsia" w:ascii="仿宋" w:hAnsi="仿宋" w:eastAsia="仿宋" w:cs="仿宋"/>
          <w:b w:val="0"/>
          <w:bCs w:val="0"/>
          <w:color w:val="auto"/>
          <w:kern w:val="2"/>
          <w:highlight w:val="none"/>
          <w:lang w:val="en-US" w:eastAsia="zh-CN" w:bidi="ar-SA"/>
        </w:rPr>
        <w:t xml:space="preserve">户  名： </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kern w:val="2"/>
          <w:highlight w:val="none"/>
          <w:lang w:val="en-US" w:eastAsia="zh-CN" w:bidi="ar-SA"/>
        </w:rPr>
      </w:pPr>
      <w:r>
        <w:rPr>
          <w:rStyle w:val="11"/>
          <w:rFonts w:hint="eastAsia" w:ascii="仿宋" w:hAnsi="仿宋" w:eastAsia="仿宋" w:cs="仿宋"/>
          <w:b w:val="0"/>
          <w:bCs w:val="0"/>
          <w:color w:val="auto"/>
          <w:kern w:val="2"/>
          <w:highlight w:val="none"/>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916305</wp:posOffset>
                </wp:positionH>
                <wp:positionV relativeFrom="paragraph">
                  <wp:posOffset>334645</wp:posOffset>
                </wp:positionV>
                <wp:extent cx="3442970" cy="0"/>
                <wp:effectExtent l="0" t="6350" r="0" b="6350"/>
                <wp:wrapNone/>
                <wp:docPr id="1051298187" name="直接连接符 2"/>
                <wp:cNvGraphicFramePr/>
                <a:graphic xmlns:a="http://schemas.openxmlformats.org/drawingml/2006/main">
                  <a:graphicData uri="http://schemas.microsoft.com/office/word/2010/wordprocessingShape">
                    <wps:wsp>
                      <wps:cNvCnPr/>
                      <wps:spPr>
                        <a:xfrm>
                          <a:off x="0" y="0"/>
                          <a:ext cx="34429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 o:spid="_x0000_s1026" o:spt="20" style="position:absolute;left:0pt;margin-left:72.15pt;margin-top:26.35pt;height:0pt;width:271.1pt;z-index:251662336;mso-width-relative:page;mso-height-relative:page;" filled="f" stroked="t" coordsize="21600,21600" o:gfxdata="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DA&#10;3/PYAAAACQEAAA8AAAAAAAAAAQAgAAAAIgAAAGRycy9kb3ducmV2LnhtbFBLAQIUABQAAAAIAIdO&#10;4kBSUoiI6gEAALsDAAAOAAAAAAAAAAEAIAAAACcBAABkcnMvZTJvRG9jLnhtbFBLBQYAAAAABgAG&#10;AFkBAACDBQAAAAA=&#10;">
                <v:fill on="f" focussize="0,0"/>
                <v:stroke weight="1pt" color="#000000 [3213]" miterlimit="8" joinstyle="miter"/>
                <v:imagedata o:title=""/>
                <o:lock v:ext="edit" aspectratio="f"/>
              </v:line>
            </w:pict>
          </mc:Fallback>
        </mc:AlternateContent>
      </w:r>
      <w:r>
        <w:rPr>
          <w:rStyle w:val="11"/>
          <w:rFonts w:hint="eastAsia" w:ascii="仿宋" w:hAnsi="仿宋" w:eastAsia="仿宋" w:cs="仿宋"/>
          <w:b w:val="0"/>
          <w:bCs w:val="0"/>
          <w:color w:val="auto"/>
          <w:kern w:val="2"/>
          <w:highlight w:val="none"/>
          <w:lang w:val="en-US" w:eastAsia="zh-CN" w:bidi="ar-SA"/>
        </w:rPr>
        <w:t xml:space="preserve">账  号： </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kern w:val="2"/>
          <w:highlight w:val="none"/>
          <w:lang w:val="en-US" w:eastAsia="zh-CN" w:bidi="ar-SA"/>
        </w:rPr>
      </w:pPr>
      <w:r>
        <w:rPr>
          <w:rStyle w:val="11"/>
          <w:rFonts w:hint="eastAsia" w:ascii="仿宋" w:hAnsi="仿宋" w:eastAsia="仿宋" w:cs="仿宋"/>
          <w:b w:val="0"/>
          <w:bCs w:val="0"/>
          <w:color w:val="auto"/>
          <w:kern w:val="2"/>
          <w:highlight w:val="none"/>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927100</wp:posOffset>
                </wp:positionH>
                <wp:positionV relativeFrom="paragraph">
                  <wp:posOffset>320675</wp:posOffset>
                </wp:positionV>
                <wp:extent cx="3442970" cy="0"/>
                <wp:effectExtent l="0" t="6350" r="0" b="6350"/>
                <wp:wrapNone/>
                <wp:docPr id="596631219" name="直接连接符 2"/>
                <wp:cNvGraphicFramePr/>
                <a:graphic xmlns:a="http://schemas.openxmlformats.org/drawingml/2006/main">
                  <a:graphicData uri="http://schemas.microsoft.com/office/word/2010/wordprocessingShape">
                    <wps:wsp>
                      <wps:cNvCnPr/>
                      <wps:spPr>
                        <a:xfrm>
                          <a:off x="0" y="0"/>
                          <a:ext cx="34429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 o:spid="_x0000_s1026" o:spt="20" style="position:absolute;left:0pt;margin-left:73pt;margin-top:25.25pt;height:0pt;width:271.1pt;z-index:251663360;mso-width-relative:page;mso-height-relative:page;" filled="f" stroked="t" coordsize="21600,21600" o:gfxdata="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m&#10;iUde2AAAAAkBAAAPAAAAAAAAAAEAIAAAACIAAABkcnMvZG93bnJldi54bWxQSwECFAAUAAAACACH&#10;TuJAnqJ7cOsBAAC6AwAADgAAAAAAAAABACAAAAAnAQAAZHJzL2Uyb0RvYy54bWxQSwUGAAAAAAYA&#10;BgBZAQAAhAUAAAAA&#10;">
                <v:fill on="f" focussize="0,0"/>
                <v:stroke weight="1pt" color="#000000 [3213]" miterlimit="8" joinstyle="miter"/>
                <v:imagedata o:title=""/>
                <o:lock v:ext="edit" aspectratio="f"/>
              </v:line>
            </w:pict>
          </mc:Fallback>
        </mc:AlternateContent>
      </w:r>
      <w:r>
        <w:rPr>
          <w:rStyle w:val="11"/>
          <w:rFonts w:hint="eastAsia" w:ascii="仿宋" w:hAnsi="仿宋" w:eastAsia="仿宋" w:cs="仿宋"/>
          <w:b w:val="0"/>
          <w:bCs w:val="0"/>
          <w:color w:val="auto"/>
          <w:kern w:val="2"/>
          <w:highlight w:val="none"/>
          <w:lang w:val="en-US" w:eastAsia="zh-CN" w:bidi="ar-SA"/>
        </w:rPr>
        <w:t xml:space="preserve">开户行： </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Style w:val="11"/>
          <w:rFonts w:hint="eastAsia" w:ascii="仿宋" w:hAnsi="仿宋" w:eastAsia="仿宋" w:cs="仿宋"/>
          <w:b w:val="0"/>
          <w:bCs w:val="0"/>
          <w:color w:val="auto"/>
          <w:kern w:val="2"/>
          <w:highlight w:val="none"/>
          <w:lang w:val="en-US" w:eastAsia="zh-CN" w:bidi="ar-SA"/>
        </w:rPr>
      </w:pPr>
      <w:r>
        <w:rPr>
          <w:rStyle w:val="11"/>
          <w:rFonts w:hint="eastAsia" w:ascii="仿宋" w:hAnsi="仿宋" w:eastAsia="仿宋" w:cs="仿宋"/>
          <w:b w:val="0"/>
          <w:bCs w:val="0"/>
          <w:color w:val="auto"/>
          <w:kern w:val="2"/>
          <w:highlight w:val="none"/>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921385</wp:posOffset>
                </wp:positionH>
                <wp:positionV relativeFrom="paragraph">
                  <wp:posOffset>308610</wp:posOffset>
                </wp:positionV>
                <wp:extent cx="3442970" cy="0"/>
                <wp:effectExtent l="0" t="6350" r="0" b="6350"/>
                <wp:wrapNone/>
                <wp:docPr id="2976946" name="直接连接符 2"/>
                <wp:cNvGraphicFramePr/>
                <a:graphic xmlns:a="http://schemas.openxmlformats.org/drawingml/2006/main">
                  <a:graphicData uri="http://schemas.microsoft.com/office/word/2010/wordprocessingShape">
                    <wps:wsp>
                      <wps:cNvCnPr/>
                      <wps:spPr>
                        <a:xfrm>
                          <a:off x="0" y="0"/>
                          <a:ext cx="34429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 o:spid="_x0000_s1026" o:spt="20" style="position:absolute;left:0pt;margin-left:72.55pt;margin-top:24.3pt;height:0pt;width:271.1pt;z-index:251664384;mso-width-relative:page;mso-height-relative:page;" filled="f" stroked="t" coordsize="21600,21600" o:gfxdata="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DcXuNcA&#10;AAAJAQAADwAAAAAAAAABACAAAAAiAAAAZHJzL2Rvd25yZXYueG1sUEsBAhQAFAAAAAgAh07iQNvu&#10;f8rnAQAAuAMAAA4AAAAAAAAAAQAgAAAAJgEAAGRycy9lMm9Eb2MueG1sUEsFBgAAAAAGAAYAWQEA&#10;AH8FAAAAAA==&#10;">
                <v:fill on="f" focussize="0,0"/>
                <v:stroke weight="1pt" color="#000000 [3213]" miterlimit="8" joinstyle="miter"/>
                <v:imagedata o:title=""/>
                <o:lock v:ext="edit" aspectratio="f"/>
              </v:line>
            </w:pict>
          </mc:Fallback>
        </mc:AlternateContent>
      </w:r>
      <w:r>
        <w:rPr>
          <w:rStyle w:val="11"/>
          <w:rFonts w:hint="eastAsia" w:ascii="仿宋" w:hAnsi="仿宋" w:eastAsia="仿宋" w:cs="仿宋"/>
          <w:b w:val="0"/>
          <w:bCs w:val="0"/>
          <w:color w:val="auto"/>
          <w:kern w:val="2"/>
          <w:highlight w:val="none"/>
          <w:lang w:val="en-US" w:eastAsia="zh-CN" w:bidi="ar-SA"/>
        </w:rPr>
        <w:t xml:space="preserve">行  号： </w:t>
      </w:r>
    </w:p>
    <w:p>
      <w:pPr>
        <w:pStyle w:val="10"/>
        <w:keepNext w:val="0"/>
        <w:keepLines w:val="0"/>
        <w:pageBreakBefore w:val="0"/>
        <w:kinsoku/>
        <w:wordWrap/>
        <w:overflowPunct/>
        <w:topLinePunct w:val="0"/>
        <w:bidi w:val="0"/>
        <w:adjustRightInd w:val="0"/>
        <w:snapToGrid w:val="0"/>
        <w:spacing w:beforeAutospacing="0" w:line="360" w:lineRule="auto"/>
        <w:ind w:left="0" w:leftChars="0" w:firstLine="562" w:firstLineChars="200"/>
        <w:textAlignment w:val="auto"/>
        <w:rPr>
          <w:rFonts w:hint="eastAsia" w:ascii="仿宋" w:hAnsi="仿宋" w:eastAsia="仿宋" w:cs="仿宋"/>
          <w:b/>
          <w:color w:val="auto"/>
          <w:sz w:val="28"/>
          <w:szCs w:val="28"/>
          <w:highlight w:val="none"/>
        </w:rPr>
      </w:pPr>
      <w:r>
        <w:rPr>
          <w:rStyle w:val="11"/>
          <w:rFonts w:hint="eastAsia" w:ascii="仿宋" w:hAnsi="仿宋" w:eastAsia="仿宋" w:cs="仿宋"/>
          <w:b/>
          <w:bCs/>
          <w:color w:val="auto"/>
          <w:highlight w:val="none"/>
          <w:lang w:val="en-US" w:eastAsia="zh-CN"/>
        </w:rPr>
        <w:t>九</w:t>
      </w:r>
      <w:r>
        <w:rPr>
          <w:rStyle w:val="11"/>
          <w:rFonts w:hint="eastAsia" w:ascii="仿宋" w:hAnsi="仿宋" w:eastAsia="仿宋" w:cs="仿宋"/>
          <w:b/>
          <w:bCs/>
          <w:color w:val="auto"/>
          <w:highlight w:val="none"/>
        </w:rPr>
        <w:t>、不</w:t>
      </w:r>
      <w:r>
        <w:rPr>
          <w:rStyle w:val="11"/>
          <w:rFonts w:hint="eastAsia" w:ascii="仿宋" w:hAnsi="仿宋" w:eastAsia="仿宋" w:cs="仿宋"/>
          <w:b/>
          <w:color w:val="auto"/>
          <w:highlight w:val="none"/>
        </w:rPr>
        <w:t>可抗力：</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不可抗力指因地震、飓风、水灾、火灾、战争、罢工、恐怖事件、以及其他不能预见、不能避免、且不能克服的客观情况，因不可抗力致使影响本协议有关条款履行的，双方应根据不可抗力因素的影响程度，协商履行部分义务、延期履行本协议或者终止本协议。因不可抗力不能履行义务的，不承担违约责任，但违约行为发生在不可抗力之前的除外。</w:t>
      </w:r>
    </w:p>
    <w:p>
      <w:pPr>
        <w:pStyle w:val="10"/>
        <w:keepNext w:val="0"/>
        <w:keepLines w:val="0"/>
        <w:pageBreakBefore w:val="0"/>
        <w:kinsoku/>
        <w:wordWrap/>
        <w:overflowPunct/>
        <w:topLinePunct w:val="0"/>
        <w:bidi w:val="0"/>
        <w:adjustRightInd w:val="0"/>
        <w:snapToGrid w:val="0"/>
        <w:spacing w:beforeAutospacing="0" w:line="360" w:lineRule="auto"/>
        <w:ind w:left="0" w:leftChars="0" w:firstLine="562" w:firstLineChars="200"/>
        <w:textAlignment w:val="auto"/>
        <w:rPr>
          <w:rStyle w:val="11"/>
          <w:rFonts w:hint="eastAsia" w:ascii="仿宋" w:hAnsi="仿宋" w:eastAsia="仿宋" w:cs="仿宋"/>
          <w:color w:val="auto"/>
          <w:highlight w:val="none"/>
        </w:rPr>
      </w:pPr>
      <w:r>
        <w:rPr>
          <w:rStyle w:val="11"/>
          <w:rFonts w:hint="eastAsia" w:ascii="仿宋" w:hAnsi="仿宋" w:eastAsia="仿宋" w:cs="仿宋"/>
          <w:b/>
          <w:bCs/>
          <w:color w:val="auto"/>
          <w:highlight w:val="none"/>
          <w:lang w:val="en-US" w:eastAsia="zh-CN"/>
        </w:rPr>
        <w:t>十</w:t>
      </w:r>
      <w:r>
        <w:rPr>
          <w:rStyle w:val="11"/>
          <w:rFonts w:hint="eastAsia" w:ascii="仿宋" w:hAnsi="仿宋" w:eastAsia="仿宋" w:cs="仿宋"/>
          <w:b/>
          <w:bCs/>
          <w:color w:val="auto"/>
          <w:highlight w:val="none"/>
        </w:rPr>
        <w:t>、其它</w:t>
      </w:r>
    </w:p>
    <w:p>
      <w:pPr>
        <w:pStyle w:val="10"/>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如协议中有未尽事宜，双方将友好协商并签订书面补充协议。本协议执行过程中，所有附件和补充协议成为本协议的有效组成部分，与本协议具有同等法律效力。</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本协议经甲方、乙方签字盖章之日起生效。共壹式伍份，甲方执肆份，乙方执壹份。</w:t>
      </w:r>
    </w:p>
    <w:p>
      <w:pPr>
        <w:keepNext w:val="0"/>
        <w:keepLines w:val="0"/>
        <w:pageBreakBefore w:val="0"/>
        <w:widowControl/>
        <w:kinsoku/>
        <w:wordWrap/>
        <w:overflowPunct/>
        <w:topLinePunct w:val="0"/>
        <w:bidi w:val="0"/>
        <w:adjustRightInd w:val="0"/>
        <w:snapToGrid w:val="0"/>
        <w:spacing w:beforeAutospacing="0"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（以下无正文）</w:t>
      </w:r>
      <w:bookmarkStart w:id="1" w:name="_GoBack"/>
      <w:bookmarkEnd w:id="1"/>
    </w:p>
    <w:p>
      <w:pPr>
        <w:pStyle w:val="2"/>
        <w:keepNext w:val="0"/>
        <w:keepLines w:val="0"/>
        <w:pageBreakBefore w:val="0"/>
        <w:kinsoku/>
        <w:wordWrap/>
        <w:overflowPunct/>
        <w:topLinePunct w:val="0"/>
        <w:bidi w:val="0"/>
        <w:adjustRightInd w:val="0"/>
        <w:snapToGrid w:val="0"/>
        <w:spacing w:beforeAutospacing="0" w:line="360" w:lineRule="auto"/>
        <w:ind w:firstLine="360" w:firstLineChars="200"/>
        <w:textAlignment w:val="auto"/>
        <w:rPr>
          <w:rFonts w:hint="eastAsia"/>
          <w:color w:val="auto"/>
          <w:highlight w:val="none"/>
        </w:rPr>
      </w:pP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甲方：                           乙方：              </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签字代表人：                     签字代表人：</w:t>
      </w:r>
    </w:p>
    <w:p>
      <w:pPr>
        <w:keepNext w:val="0"/>
        <w:keepLines w:val="0"/>
        <w:pageBreakBefore w:val="0"/>
        <w:kinsoku/>
        <w:wordWrap/>
        <w:overflowPunct/>
        <w:topLinePunct w:val="0"/>
        <w:bidi w:val="0"/>
        <w:adjustRightInd w:val="0"/>
        <w:snapToGrid w:val="0"/>
        <w:spacing w:beforeAutospacing="0"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甲方签章：                       乙方签章：</w:t>
      </w:r>
    </w:p>
    <w:p>
      <w:pPr>
        <w:keepNext w:val="0"/>
        <w:keepLines w:val="0"/>
        <w:pageBreakBefore w:val="0"/>
        <w:kinsoku/>
        <w:wordWrap/>
        <w:overflowPunct/>
        <w:topLinePunct w:val="0"/>
        <w:bidi w:val="0"/>
        <w:adjustRightInd w:val="0"/>
        <w:snapToGrid w:val="0"/>
        <w:spacing w:beforeAutospacing="0" w:line="360" w:lineRule="auto"/>
        <w:textAlignment w:val="auto"/>
        <w:rPr>
          <w:rFonts w:hint="eastAsia" w:ascii="仿宋" w:hAnsi="仿宋" w:eastAsia="仿宋" w:cs="仿宋"/>
          <w:color w:val="auto"/>
          <w:sz w:val="24"/>
          <w:highlight w:val="none"/>
          <w:lang w:eastAsia="zh-Hans"/>
        </w:rPr>
      </w:pPr>
      <w:r>
        <w:rPr>
          <w:rFonts w:hint="eastAsia" w:ascii="仿宋" w:hAnsi="仿宋" w:eastAsia="仿宋" w:cs="仿宋"/>
          <w:color w:val="auto"/>
          <w:sz w:val="28"/>
          <w:szCs w:val="28"/>
          <w:highlight w:val="none"/>
        </w:rPr>
        <w:t xml:space="preserve">签订日期：  年    月    日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签订日期：   年    月    日 </w:t>
      </w:r>
      <w:bookmarkEnd w:id="0"/>
    </w:p>
    <w:p>
      <w:pPr>
        <w:keepNext w:val="0"/>
        <w:keepLines w:val="0"/>
        <w:pageBreakBefore w:val="0"/>
        <w:kinsoku/>
        <w:wordWrap/>
        <w:overflowPunct/>
        <w:topLinePunct w:val="0"/>
        <w:bidi w:val="0"/>
        <w:spacing w:beforeAutospacing="0" w:line="360" w:lineRule="auto"/>
        <w:ind w:firstLine="420" w:firstLineChars="200"/>
        <w:textAlignment w:val="auto"/>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6" w:line="219" w:lineRule="auto"/>
      <w:ind w:left="20"/>
      <w:rPr>
        <w:rFonts w:hint="eastAsia" w:ascii="宋体" w:hAnsi="宋体" w:eastAsia="宋体" w:cs="宋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D738CE"/>
    <w:multiLevelType w:val="singleLevel"/>
    <w:tmpl w:val="B9D738CE"/>
    <w:lvl w:ilvl="0" w:tentative="0">
      <w:start w:val="4"/>
      <w:numFmt w:val="chineseCounting"/>
      <w:suff w:val="nothing"/>
      <w:lvlText w:val="%1、"/>
      <w:lvlJc w:val="left"/>
      <w:rPr>
        <w:rFonts w:hint="eastAsia"/>
      </w:rPr>
    </w:lvl>
  </w:abstractNum>
  <w:abstractNum w:abstractNumId="1">
    <w:nsid w:val="68CE40A3"/>
    <w:multiLevelType w:val="singleLevel"/>
    <w:tmpl w:val="68CE40A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7C19159D"/>
    <w:rsid w:val="02510197"/>
    <w:rsid w:val="0B212DFC"/>
    <w:rsid w:val="21C67E02"/>
    <w:rsid w:val="249D3D69"/>
    <w:rsid w:val="255A0F8D"/>
    <w:rsid w:val="2C9111F4"/>
    <w:rsid w:val="34DB376C"/>
    <w:rsid w:val="37F52D97"/>
    <w:rsid w:val="3E5A1BA6"/>
    <w:rsid w:val="404A37EE"/>
    <w:rsid w:val="40D91972"/>
    <w:rsid w:val="42A03FC7"/>
    <w:rsid w:val="4C6A56AA"/>
    <w:rsid w:val="606676EC"/>
    <w:rsid w:val="651224D1"/>
    <w:rsid w:val="7A792DD8"/>
    <w:rsid w:val="7C19159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link w:val="11"/>
    <w:qFormat/>
    <w:uiPriority w:val="0"/>
    <w:pPr>
      <w:keepNext/>
      <w:outlineLvl w:val="3"/>
    </w:pPr>
    <w:rPr>
      <w:sz w:val="28"/>
      <w:szCs w:val="20"/>
    </w:rPr>
  </w:style>
  <w:style w:type="character" w:default="1" w:styleId="7">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4">
    <w:name w:val="Body Text"/>
    <w:basedOn w:val="1"/>
    <w:qFormat/>
    <w:uiPriority w:val="1"/>
    <w:rPr>
      <w:rFonts w:ascii="宋体" w:hAnsi="宋体" w:eastAsia="宋体" w:cs="宋体"/>
      <w:sz w:val="28"/>
      <w:szCs w:val="28"/>
      <w:lang w:val="zh-CN" w:bidi="zh-CN"/>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Strong"/>
    <w:basedOn w:val="7"/>
    <w:autoRedefine/>
    <w:qFormat/>
    <w:uiPriority w:val="0"/>
    <w:rPr>
      <w:b/>
    </w:rPr>
  </w:style>
  <w:style w:type="paragraph" w:customStyle="1" w:styleId="9">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10">
    <w:name w:val="列出段落1"/>
    <w:basedOn w:val="1"/>
    <w:autoRedefine/>
    <w:qFormat/>
    <w:uiPriority w:val="34"/>
    <w:pPr>
      <w:spacing w:line="360" w:lineRule="auto"/>
      <w:ind w:firstLine="420" w:firstLineChars="200"/>
    </w:pPr>
    <w:rPr>
      <w:rFonts w:ascii="Calibri" w:hAnsi="Calibri" w:eastAsia="宋体" w:cs="Times New Roman"/>
      <w:sz w:val="24"/>
      <w:szCs w:val="22"/>
    </w:rPr>
  </w:style>
  <w:style w:type="character" w:customStyle="1" w:styleId="11">
    <w:name w:val="标题 4 字符"/>
    <w:basedOn w:val="7"/>
    <w:link w:val="3"/>
    <w:autoRedefine/>
    <w:qFormat/>
    <w:uiPriority w:val="0"/>
    <w:rPr>
      <w:sz w:val="28"/>
      <w:szCs w:val="20"/>
    </w:rPr>
  </w:style>
  <w:style w:type="paragraph" w:styleId="12">
    <w:name w:val="List Paragraph"/>
    <w:basedOn w:val="1"/>
    <w:autoRedefine/>
    <w:qFormat/>
    <w:uiPriority w:val="34"/>
    <w:pPr>
      <w:ind w:left="720"/>
      <w:contextualSpacing/>
    </w:pPr>
  </w:style>
  <w:style w:type="paragraph" w:customStyle="1" w:styleId="13">
    <w:name w:val="Table Text"/>
    <w:basedOn w:val="1"/>
    <w:autoRedefine/>
    <w:semiHidden/>
    <w:qFormat/>
    <w:uiPriority w:val="0"/>
    <w:rPr>
      <w:rFonts w:ascii="宋体" w:hAnsi="宋体" w:eastAsia="宋体" w:cs="宋体"/>
      <w:sz w:val="24"/>
      <w:szCs w:val="24"/>
      <w:lang w:val="en-US" w:eastAsia="en-US" w:bidi="ar-SA"/>
    </w:rPr>
  </w:style>
  <w:style w:type="table" w:customStyle="1" w:styleId="14">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145</TotalTime>
  <ScaleCrop>false</ScaleCrop>
  <LinksUpToDate>false</LinksUpToDate>
  <CharactersWithSpaces>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2025-10-31T05:34:00Z</dcterms:created>
  <dc:creator>华夏国际-招标部</dc:creator>
  <cp:lastModifiedBy>dxsa</cp:lastModifiedBy>
  <dcterms:modified xsi:type="dcterms:W3CDTF">2026-01-23T06:21:07Z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D796F6EA897D4F9EA3954679175ECB17_13</vt:lpwstr>
  </property>
  <property fmtid="{D5CDD505-2E9C-101B-9397-08002B2CF9AE}" pid="4" name="KSOTemplateDocerSaveRecord">
    <vt:lpwstr>eyJoZGlkIjoiOTliZmFiMTgxMjAzMGU2Mjk0ZGExYmI2MWRhM2Y3ZjgiLCJ1c2VySWQiOiIxNTQ4NTM4NTMxIn0=</vt:lpwstr>
  </property>
</Properties>
</file>