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89631">
      <w:pPr>
        <w:spacing w:line="440" w:lineRule="exact"/>
        <w:jc w:val="center"/>
        <w:rPr>
          <w:rFonts w:hint="default" w:eastAsia="宋体"/>
          <w:sz w:val="28"/>
          <w:szCs w:val="36"/>
          <w:lang w:val="en-US" w:eastAsia="zh-CN"/>
        </w:rPr>
      </w:pPr>
      <w:r>
        <w:rPr>
          <w:rFonts w:hint="eastAsia" w:ascii="宋体" w:hAnsi="宋体" w:eastAsia="宋体" w:cs="Times New Roman"/>
          <w:b/>
          <w:bCs/>
          <w:sz w:val="32"/>
          <w:szCs w:val="32"/>
          <w:lang w:val="en-US" w:eastAsia="zh-CN"/>
        </w:rPr>
        <w:t>分项报价表</w:t>
      </w:r>
      <w:bookmarkStart w:id="0" w:name="_GoBack"/>
      <w:bookmarkEnd w:id="0"/>
      <w:r>
        <w:rPr>
          <w:rFonts w:hint="eastAsia"/>
          <w:sz w:val="28"/>
          <w:szCs w:val="36"/>
          <w:lang w:val="en-US" w:eastAsia="zh-CN"/>
        </w:rPr>
        <w:br w:type="textWrapping"/>
      </w:r>
    </w:p>
    <w:tbl>
      <w:tblPr>
        <w:tblStyle w:val="4"/>
        <w:tblW w:w="1414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2"/>
        <w:gridCol w:w="2113"/>
        <w:gridCol w:w="7131"/>
        <w:gridCol w:w="825"/>
        <w:gridCol w:w="763"/>
        <w:gridCol w:w="1125"/>
        <w:gridCol w:w="1125"/>
      </w:tblGrid>
      <w:tr w14:paraId="632DB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99735B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459C08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建设内容</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69F6D38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主要参数</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7E4D072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FF5851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E57C9C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E949345">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合计</w:t>
            </w:r>
          </w:p>
        </w:tc>
      </w:tr>
      <w:tr w14:paraId="11E7D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53D9D7B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BD0CE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管（巡）护系统建设</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2A27221C">
            <w:pPr>
              <w:jc w:val="center"/>
              <w:rPr>
                <w:rFonts w:hint="eastAsia" w:ascii="宋体" w:hAnsi="宋体" w:eastAsia="宋体" w:cs="宋体"/>
                <w:b/>
                <w:bCs/>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364E80C4">
            <w:pPr>
              <w:jc w:val="center"/>
              <w:rPr>
                <w:rFonts w:hint="eastAsia" w:ascii="宋体" w:hAnsi="宋体" w:eastAsia="宋体" w:cs="宋体"/>
                <w:b/>
                <w:bCs/>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235DA4B">
            <w:pPr>
              <w:jc w:val="center"/>
              <w:rPr>
                <w:rFonts w:hint="eastAsia" w:ascii="宋体" w:hAnsi="宋体" w:eastAsia="宋体" w:cs="宋体"/>
                <w:b/>
                <w:bCs/>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BF62505">
            <w:pPr>
              <w:jc w:val="center"/>
              <w:rPr>
                <w:rFonts w:hint="eastAsia" w:ascii="宋体" w:hAnsi="宋体" w:eastAsia="宋体" w:cs="宋体"/>
                <w:b/>
                <w:bCs/>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444826F">
            <w:pPr>
              <w:jc w:val="center"/>
              <w:rPr>
                <w:rFonts w:hint="eastAsia" w:ascii="宋体" w:hAnsi="宋体" w:eastAsia="宋体" w:cs="宋体"/>
                <w:b/>
                <w:bCs/>
                <w:i w:val="0"/>
                <w:iCs w:val="0"/>
                <w:color w:val="000000"/>
                <w:sz w:val="22"/>
                <w:szCs w:val="22"/>
                <w:u w:val="none"/>
              </w:rPr>
            </w:pPr>
          </w:p>
        </w:tc>
      </w:tr>
      <w:tr w14:paraId="62F30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287EF53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36CB5EB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智能语音提示系统</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742751A3">
            <w:pPr>
              <w:jc w:val="left"/>
              <w:rPr>
                <w:rFonts w:hint="eastAsia" w:ascii="宋体" w:hAnsi="宋体" w:eastAsia="宋体" w:cs="宋体"/>
                <w:b/>
                <w:bCs/>
                <w:i w:val="0"/>
                <w:iCs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63BDE6F5">
            <w:pPr>
              <w:jc w:val="center"/>
              <w:rPr>
                <w:rFonts w:hint="eastAsia" w:ascii="宋体" w:hAnsi="宋体" w:eastAsia="宋体" w:cs="宋体"/>
                <w:b/>
                <w:bCs/>
                <w:i w:val="0"/>
                <w:iCs w:val="0"/>
                <w:color w:val="000000"/>
                <w:sz w:val="21"/>
                <w:szCs w:val="21"/>
                <w:u w:val="none"/>
              </w:rPr>
            </w:pP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04577D7">
            <w:pPr>
              <w:jc w:val="center"/>
              <w:rPr>
                <w:rFonts w:hint="eastAsia" w:ascii="宋体" w:hAnsi="宋体" w:eastAsia="宋体" w:cs="宋体"/>
                <w:b/>
                <w:bCs/>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6D91167E">
            <w:pPr>
              <w:rPr>
                <w:rFonts w:hint="eastAsia" w:ascii="宋体" w:hAnsi="宋体" w:eastAsia="宋体" w:cs="宋体"/>
                <w:b/>
                <w:bCs/>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77F82C89">
            <w:pPr>
              <w:rPr>
                <w:rFonts w:hint="eastAsia" w:ascii="宋体" w:hAnsi="宋体" w:eastAsia="宋体" w:cs="宋体"/>
                <w:b/>
                <w:bCs/>
                <w:i w:val="0"/>
                <w:iCs w:val="0"/>
                <w:color w:val="000000"/>
                <w:sz w:val="21"/>
                <w:szCs w:val="21"/>
                <w:u w:val="none"/>
              </w:rPr>
            </w:pPr>
          </w:p>
        </w:tc>
      </w:tr>
      <w:tr w14:paraId="7C276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4"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35689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3C6244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智能语音提示设备</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76BD40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·供电方式：太阳能供电；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·全天候自动感应，语音播放；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·高保真 MP3|WAV 音频播放，音质好，音色还原度高，声音宏亮，高中低音全频服务；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·适用于各种场所,单个设备，最大音量可覆盖100-200平；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·人体感应器感应视角宽120°，有效感应距离0-20米；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·内置功放电路，足够的功率推动音箱；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·人经过感应区域时，全自动语音播放，无需人工干预；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·单个音箱可以覆盖0-100平方米音频空间立体感强；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·带红、蓝爆闪灯；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·音频：具有高音中低音双路喇叭；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·音频：MP3、WAV格式，无压缩，保持高品质音频输出；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·功率：大于20W, 大功率输出；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·频率：20-20 KHz , 全频音箱；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·响度：标准围绕 120dB; 适应人耳音频范围。</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182A7A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035035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41F99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含二次搬运</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E49563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30E78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1"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67CF32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F7391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一体化立杆</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36D459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·材质：镀锌钢，耐腐蚀，能适应不同的户外环境；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·高度：4米；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·直径和厚度：下部立杆直径为89mm，厚度为2mm；上部支撑杆长0.6米，直径89mm，厚度同样为2mm；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·防护等级：IP65防护等级，能有效防尘、防水，适应户外恶劣环境；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·加工方式：常见的加工方式为机加焊接，以确保立杆的结构强度；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·油漆：采用阿克苏粉末进行油漆处理。包含LED屏（450mm*1100mm),200W太阳能电池板，智能语音喊话器等功能</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1A07F7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4E4DCD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2DB73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含二次搬运</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9F477C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3B45A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6F8411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76B2CB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线材辅材 </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6898F8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电源线、网络连接线、音频线、安装支架、螺丝、螺栓、膨胀管、抱箍、防护外壳、接地装置等辅材；每个立杆距离约2~5km，考虑线材的长度</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468891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0C1D9F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444EEC2E">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2B6AE3F0">
            <w:pPr>
              <w:rPr>
                <w:rFonts w:hint="eastAsia" w:ascii="宋体" w:hAnsi="宋体" w:eastAsia="宋体" w:cs="宋体"/>
                <w:i w:val="0"/>
                <w:iCs w:val="0"/>
                <w:color w:val="000000"/>
                <w:sz w:val="21"/>
                <w:szCs w:val="21"/>
                <w:u w:val="none"/>
              </w:rPr>
            </w:pPr>
          </w:p>
        </w:tc>
      </w:tr>
      <w:tr w14:paraId="16A52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4A5389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55C5D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基础处理</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70C9099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·清理场地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·根据设备重量、地质条件等因素，设计合适的基础尺寸；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·按照设计要求进行开挖、钢筋绑扎、模板安装、混凝土浇筑等。项目地处秦岭深山腹地黑河湿地区域，原材运输远，同时包括原始路面的破除、预埋件的购置埋设、人工基础开挖，基础混凝土人工拌制及浇筑等</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7804B3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0330A0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578B1901">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0954B25F">
            <w:pPr>
              <w:rPr>
                <w:rFonts w:hint="eastAsia" w:ascii="宋体" w:hAnsi="宋体" w:eastAsia="宋体" w:cs="宋体"/>
                <w:i w:val="0"/>
                <w:iCs w:val="0"/>
                <w:color w:val="000000"/>
                <w:sz w:val="21"/>
                <w:szCs w:val="21"/>
                <w:u w:val="none"/>
              </w:rPr>
            </w:pPr>
          </w:p>
        </w:tc>
      </w:tr>
      <w:tr w14:paraId="07DF4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6FD65A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7A2B2E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安装调试</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2BB5CE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完成硬件安装和软件设置后 ，对系统进行全面调式，检查设备的工作状态是否正常，语音提示是否清晰、准确，语音识别功能是否灵敏等。如发现问题，及时进行排查和解决。包括后期语音内容、文字内容的编辑和更换，日常巡护检查及更新等</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4F000B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A12F1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43FDB4E3">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0987B126">
            <w:pPr>
              <w:rPr>
                <w:rFonts w:hint="eastAsia" w:ascii="宋体" w:hAnsi="宋体" w:eastAsia="宋体" w:cs="宋体"/>
                <w:i w:val="0"/>
                <w:iCs w:val="0"/>
                <w:color w:val="000000"/>
                <w:sz w:val="21"/>
                <w:szCs w:val="21"/>
                <w:u w:val="none"/>
              </w:rPr>
            </w:pPr>
          </w:p>
        </w:tc>
      </w:tr>
      <w:tr w14:paraId="055C0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3829C0E6">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（二）</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10F9F806">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鱼探器</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630BD199">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4BA8A94F">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098B6BB7">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5F6E8202">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505E7868">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r>
      <w:tr w14:paraId="1C501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4"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5512B0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518053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鱼探器</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410171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·显示器；分频率 彩色数字屏，尺寸≥7寸，1024*600；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·电源 DC12.6V,4500毫安电池，6-8小时续航；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·OSD语言 英语/中文等（多种语言可选择）；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·摄像头 补光灯≥20颗，CCD800线/AHD1080P，高强度金属材料（防水、防水腐、抗拉力）；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·防水测试 实测100米，防水等级IP68；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·视频线长和强度 视频线长≥50米，最大可承受150的拉力。高清夜视来鱼提醒浑水探鱼摄像头看鱼器，35米皮线+3.6杆</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150798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66DC83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4EE95CA2">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6D051247">
            <w:pPr>
              <w:rPr>
                <w:rFonts w:hint="eastAsia" w:ascii="宋体" w:hAnsi="宋体" w:eastAsia="宋体" w:cs="宋体"/>
                <w:i w:val="0"/>
                <w:iCs w:val="0"/>
                <w:color w:val="000000"/>
                <w:sz w:val="21"/>
                <w:szCs w:val="21"/>
                <w:u w:val="none"/>
              </w:rPr>
            </w:pPr>
          </w:p>
        </w:tc>
      </w:tr>
      <w:tr w14:paraId="7A939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2782554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二</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5549552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主要保护对象资源调查</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44FB8F3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08E8407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098074B2">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2B5E1B03">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2F2DFEDC">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r>
      <w:tr w14:paraId="3DDCD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17E9C2D6">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（一）</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46747466">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主要保护对象大鲵及其栖息地监测</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473044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陕西黑河珍稀水生野生动物国家级自然保护区开展保护区主要保护对象大鲵及其栖息地监测1项，监测周期为1年，在河道干流布设33个样方、河道5个支流布设30个样方，共计布设63个监测样方，春、夏、秋、冬季各监测1次共4次，重点在繁殖期和越冬期，监测时间应在日落2小时后或夜间进行调查。每个样方放置3个地笼网，每次布设189个地笼网，布设及监测需在河流中工作5小时，每个点位需4名调查人员，共开展4次，合计759个监测点位。最终成果需提供现地监测原始记录表纸质版252份、1份电子版及调查工作照、生境照、调查物种照（每个调查点两次调查各需提供工作照及生境照各1张），通过专家评审后最终形成的《陕西黑河珍稀水生野生动物国家级自然保护区大鲵资源及生存环境监测报告》纸质版10份及电子版1份，正式出版（含ISBN书号）调查报告200册。</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0E2C3960">
            <w:pPr>
              <w:jc w:val="center"/>
              <w:rPr>
                <w:rFonts w:hint="eastAsia" w:ascii="宋体" w:hAnsi="宋体" w:eastAsia="宋体" w:cs="宋体"/>
                <w:i w:val="0"/>
                <w:iCs w:val="0"/>
                <w:color w:val="000000"/>
                <w:sz w:val="21"/>
                <w:szCs w:val="21"/>
                <w:u w:val="none"/>
              </w:rPr>
            </w:pP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0A385D94">
            <w:pPr>
              <w:jc w:val="cente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191A0607">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00BE5AC8">
            <w:pPr>
              <w:rPr>
                <w:rFonts w:hint="eastAsia" w:ascii="宋体" w:hAnsi="宋体" w:eastAsia="宋体" w:cs="宋体"/>
                <w:i w:val="0"/>
                <w:iCs w:val="0"/>
                <w:color w:val="000000"/>
                <w:sz w:val="21"/>
                <w:szCs w:val="21"/>
                <w:u w:val="none"/>
              </w:rPr>
            </w:pPr>
          </w:p>
        </w:tc>
      </w:tr>
      <w:tr w14:paraId="52809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2"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1A978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BC116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外业调查费</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1439E7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在陕西黑河珍稀水生野生动物保护区区域内，地形地貌复杂，作业条件差。开展外业调查监测工作共计4次，每次调查监测大鲵种群数量、分布、动态变化、影响因子及其生境情况，每次调查监测63个点位，每个点位放置3个地笼网，布设及调查需在河流中工作5小时，每次需布设189个地笼网，共开展4次，合计63个监测样方，189个地笼网。外业调查：5人</w:t>
            </w:r>
            <w:r>
              <w:rPr>
                <w:rStyle w:val="7"/>
                <w:rFonts w:eastAsia="宋体"/>
                <w:sz w:val="21"/>
                <w:szCs w:val="21"/>
                <w:lang w:val="en-US" w:eastAsia="zh-CN" w:bidi="ar"/>
              </w:rPr>
              <w:t>×</w:t>
            </w:r>
            <w:r>
              <w:rPr>
                <w:rStyle w:val="6"/>
                <w:sz w:val="21"/>
                <w:szCs w:val="21"/>
                <w:lang w:val="en-US" w:eastAsia="zh-CN" w:bidi="ar"/>
              </w:rPr>
              <w:t>35天</w:t>
            </w:r>
            <w:r>
              <w:rPr>
                <w:rStyle w:val="7"/>
                <w:rFonts w:eastAsia="宋体"/>
                <w:sz w:val="21"/>
                <w:szCs w:val="21"/>
                <w:lang w:val="en-US" w:eastAsia="zh-CN" w:bidi="ar"/>
              </w:rPr>
              <w:t>×</w:t>
            </w:r>
            <w:r>
              <w:rPr>
                <w:rStyle w:val="6"/>
                <w:sz w:val="21"/>
                <w:szCs w:val="21"/>
                <w:lang w:val="en-US" w:eastAsia="zh-CN" w:bidi="ar"/>
              </w:rPr>
              <w:t>4次。</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42066B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人/天</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BFFD4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5</w:t>
            </w:r>
            <w:r>
              <w:rPr>
                <w:rStyle w:val="7"/>
                <w:rFonts w:eastAsia="宋体"/>
                <w:sz w:val="21"/>
                <w:szCs w:val="21"/>
                <w:lang w:val="en-US" w:eastAsia="zh-CN" w:bidi="ar"/>
              </w:rPr>
              <w:t>×</w:t>
            </w:r>
            <w:r>
              <w:rPr>
                <w:rStyle w:val="6"/>
                <w:sz w:val="21"/>
                <w:szCs w:val="21"/>
                <w:lang w:val="en-US" w:eastAsia="zh-CN" w:bidi="ar"/>
              </w:rPr>
              <w:t>37</w:t>
            </w:r>
            <w:r>
              <w:rPr>
                <w:rStyle w:val="7"/>
                <w:rFonts w:eastAsia="宋体"/>
                <w:sz w:val="21"/>
                <w:szCs w:val="21"/>
                <w:lang w:val="en-US" w:eastAsia="zh-CN" w:bidi="ar"/>
              </w:rPr>
              <w:t>×</w:t>
            </w:r>
            <w:r>
              <w:rPr>
                <w:rStyle w:val="6"/>
                <w:sz w:val="21"/>
                <w:szCs w:val="21"/>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1CB45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包括劳务费、住宿、租车费、伙食补助费和调查所需消耗设备和器材。</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9CAF54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3AA4F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6F9CA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3152C9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内业数据整理、分析、报告编制及正式出版</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5AE5EA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项目需要对采集的数据进行内业数据整理、分析、报告编制及出版水生动植物图鉴，主要包括数据录入、检查、整理、数据分析及调查报告编制费及编制及正式出版水生动植物图鉴（含省级以上出版社的ISBN书号）。</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1AF79D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398B1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3DFA8244">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09773A95">
            <w:pPr>
              <w:rPr>
                <w:rFonts w:hint="eastAsia" w:ascii="宋体" w:hAnsi="宋体" w:eastAsia="宋体" w:cs="宋体"/>
                <w:i w:val="0"/>
                <w:iCs w:val="0"/>
                <w:color w:val="000000"/>
                <w:sz w:val="21"/>
                <w:szCs w:val="21"/>
                <w:u w:val="none"/>
              </w:rPr>
            </w:pPr>
          </w:p>
        </w:tc>
      </w:tr>
      <w:tr w14:paraId="52D6D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29825A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73E528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数据录入、检查、整理、建立数据库</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63F255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项目实施过程中，对每次野外调查监测的数据进行录入、检查、整理，建立数据库，保证数据的准确及合理性，需5人×20天。</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6CEA8A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人/天</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3F42BE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5</w:t>
            </w:r>
            <w:r>
              <w:rPr>
                <w:rStyle w:val="7"/>
                <w:rFonts w:eastAsia="宋体"/>
                <w:sz w:val="21"/>
                <w:szCs w:val="21"/>
                <w:lang w:val="en-US" w:eastAsia="zh-CN" w:bidi="ar"/>
              </w:rPr>
              <w:t>×</w:t>
            </w:r>
            <w:r>
              <w:rPr>
                <w:rStyle w:val="6"/>
                <w:sz w:val="21"/>
                <w:szCs w:val="21"/>
                <w:lang w:val="en-US" w:eastAsia="zh-CN" w:bidi="ar"/>
              </w:rPr>
              <w:t>25</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E1DE4A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包括劳务费、伙食补助费、交通费和办公等其他开支</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CF9F4F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37C4E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6"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28682D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0DFC57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数据分析及调查报告编制费</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7194B0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调查监测结束后，需聘请本领域专业的科研院所相关专家，采用专业软件对外业调查的数据进行分析、制图、展示，并根据分析结果编制报告，需10人×20天。</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0724A6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人/天</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37BAC0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10</w:t>
            </w:r>
            <w:r>
              <w:rPr>
                <w:rStyle w:val="7"/>
                <w:rFonts w:eastAsia="宋体"/>
                <w:sz w:val="21"/>
                <w:szCs w:val="21"/>
                <w:lang w:val="en-US" w:eastAsia="zh-CN" w:bidi="ar"/>
              </w:rPr>
              <w:t>×</w:t>
            </w:r>
            <w:r>
              <w:rPr>
                <w:rStyle w:val="6"/>
                <w:sz w:val="21"/>
                <w:szCs w:val="21"/>
                <w:lang w:val="en-US" w:eastAsia="zh-CN" w:bidi="ar"/>
              </w:rPr>
              <w:t>22</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5EC7C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包括编制调查监测报告劳务费、伙食补助、数据分析、制图、打印、聘请专家等。</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095CEC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2860D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814ED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3DBBE2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出版图鉴（ISBN书号，编稿、校队、排版、设计及印刷）</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63D861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编制并出版水生动植物图鉴，包含中文版国家级出版社的ISBN书号，购买国家级出版社的ISBN书号。图鉴应遴选具有特色的水生生物种类，明确水生生物特征、地理分布、生理特点、保护状况等；图鉴应图文并茂地展示水生生物的相关信息，同时要加入环境保护的知识，增强对环境保护的认识；图鉴可以包含水生动物的分类、分布表。共出版200册。</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2EF1AD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B84C3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DBCC215">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9B9BC24">
            <w:pPr>
              <w:rPr>
                <w:rFonts w:hint="eastAsia" w:ascii="宋体" w:hAnsi="宋体" w:eastAsia="宋体" w:cs="宋体"/>
                <w:i w:val="0"/>
                <w:iCs w:val="0"/>
                <w:color w:val="000000"/>
                <w:sz w:val="21"/>
                <w:szCs w:val="21"/>
                <w:u w:val="none"/>
              </w:rPr>
            </w:pPr>
          </w:p>
        </w:tc>
      </w:tr>
      <w:tr w14:paraId="20361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1576A45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三</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1E25536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公共教育系统建设</w:t>
            </w:r>
          </w:p>
        </w:tc>
        <w:tc>
          <w:tcPr>
            <w:tcW w:w="7131" w:type="dxa"/>
            <w:tcBorders>
              <w:top w:val="single" w:color="000000" w:sz="4" w:space="0"/>
              <w:left w:val="single" w:color="000000" w:sz="4" w:space="0"/>
              <w:bottom w:val="single" w:color="000000" w:sz="4" w:space="0"/>
              <w:right w:val="single" w:color="000000" w:sz="4" w:space="0"/>
            </w:tcBorders>
            <w:noWrap/>
            <w:vAlign w:val="bottom"/>
          </w:tcPr>
          <w:p w14:paraId="7C3A3BD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noWrap/>
            <w:vAlign w:val="bottom"/>
          </w:tcPr>
          <w:p w14:paraId="315EFCE4">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763" w:type="dxa"/>
            <w:tcBorders>
              <w:top w:val="single" w:color="000000" w:sz="4" w:space="0"/>
              <w:left w:val="single" w:color="000000" w:sz="4" w:space="0"/>
              <w:bottom w:val="single" w:color="000000" w:sz="4" w:space="0"/>
              <w:right w:val="single" w:color="000000" w:sz="4" w:space="0"/>
            </w:tcBorders>
            <w:noWrap/>
            <w:vAlign w:val="bottom"/>
          </w:tcPr>
          <w:p w14:paraId="7390F23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4EA8BC2C">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27CAEAC1">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r>
      <w:tr w14:paraId="2A932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195EE66">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（一）</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C383F9E">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制作宣传纪录片</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70ECE6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进一步扩大公众宣传教育的深度和广度，营造保护水生野生动物的浓厚氛围，切实提高全民生态保护意识和认知度，本项目制作宣传纪录片和宣传品，重点介绍保护区内的大鲵、秦岭细鳞鲑、多鳞铲颌鱼等珍稀水生动物，展示其形态特征、生活习性及生存现状，揭示水生动物对维持水域生态平衡、净化水质及促进物质循环的重要作用，强调维持生物多样性保护的重要性；系统解读野生动物保护法、自然保护区条例等相关法规，明确非法捕捞、交易水生野生动物的法律后果，通过执法案例展示政策实施的必要性和成效，引导公众遵守保护规定；通过具体的保护措施，凸显“政府主导、社会参与”的保护模式；通过展示科普宣传活动，呼吁公众从拒绝购买非法渔具、不食用保护动物等日常行为做起，倡导公众参与保护行动；强调水生动物保护是“生态文明建设的重要组成部分”，倡导人与自然和谐共生的理念和社会共识；揭示水生动物面临的生存威胁，如栖息地破坏、非法捕捞、外来物种入侵等，并结合典型案例分析人类活动对生态系统的影响，展示气候变迁、水域污染等问题对保护区的间接冲击，强调保护行动的紧迫性与长期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视频格式与分辨率：原始素材采用4K分辨率（4096×2160），格式为XAVC-MXF，成片分辨率不低于1080P，帧速率25帧/秒，采样模式不低于4:2:2/10 bit，以保证画面细节与后期调色空间。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拍摄技术与设备：综合运用航拍（展现宏观地貌）、微距摄影（捕捉物种细节）、延时摄影（记录生态过程）等手段。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纪录片成果：20分钟纪录片及全部原始素材。</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4E036F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分钟</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8C910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43AE2B43">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03C2D59C">
            <w:pPr>
              <w:rPr>
                <w:rFonts w:hint="eastAsia" w:ascii="宋体" w:hAnsi="宋体" w:eastAsia="宋体" w:cs="宋体"/>
                <w:i w:val="0"/>
                <w:iCs w:val="0"/>
                <w:color w:val="000000"/>
                <w:sz w:val="21"/>
                <w:szCs w:val="21"/>
                <w:u w:val="none"/>
              </w:rPr>
            </w:pPr>
          </w:p>
        </w:tc>
      </w:tr>
      <w:tr w14:paraId="708C7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79DB772">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（二）</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5D07C662">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宣传T恤</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0F4FBC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为提高公众和社区周边群众保护意识，积极参与和支持保护区生态保护、珍稀水生野生动植物保护和建设工作，本项目购置宣传T恤350件，材质为纯棉面料。</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04CC3D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4C38AE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w:t>
            </w: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21D96625">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44A519A5">
            <w:pPr>
              <w:rPr>
                <w:rFonts w:hint="eastAsia" w:ascii="宋体" w:hAnsi="宋体" w:eastAsia="宋体" w:cs="宋体"/>
                <w:i w:val="0"/>
                <w:iCs w:val="0"/>
                <w:color w:val="000000"/>
                <w:sz w:val="21"/>
                <w:szCs w:val="21"/>
                <w:u w:val="none"/>
              </w:rPr>
            </w:pPr>
          </w:p>
        </w:tc>
      </w:tr>
      <w:tr w14:paraId="1387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2802A1A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四</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3C4993D">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水生动物疫源疫病监测与防控</w:t>
            </w:r>
          </w:p>
        </w:tc>
        <w:tc>
          <w:tcPr>
            <w:tcW w:w="7131" w:type="dxa"/>
            <w:tcBorders>
              <w:top w:val="single" w:color="000000" w:sz="4" w:space="0"/>
              <w:left w:val="single" w:color="000000" w:sz="4" w:space="0"/>
              <w:bottom w:val="single" w:color="000000" w:sz="4" w:space="0"/>
              <w:right w:val="single" w:color="000000" w:sz="4" w:space="0"/>
            </w:tcBorders>
            <w:noWrap/>
            <w:vAlign w:val="bottom"/>
          </w:tcPr>
          <w:p w14:paraId="6D9554FB">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noWrap/>
            <w:vAlign w:val="bottom"/>
          </w:tcPr>
          <w:p w14:paraId="29FAF39B">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763" w:type="dxa"/>
            <w:tcBorders>
              <w:top w:val="single" w:color="000000" w:sz="4" w:space="0"/>
              <w:left w:val="single" w:color="000000" w:sz="4" w:space="0"/>
              <w:bottom w:val="single" w:color="000000" w:sz="4" w:space="0"/>
              <w:right w:val="single" w:color="000000" w:sz="4" w:space="0"/>
            </w:tcBorders>
            <w:noWrap/>
            <w:vAlign w:val="bottom"/>
          </w:tcPr>
          <w:p w14:paraId="70A116AD">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1537FEF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006777A8">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r>
      <w:tr w14:paraId="6D156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515587C0">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（一）</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4393104D">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物种监测和环境因素监测</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5A6DDB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强化珍稀水生动物保护区水生动物疫病风险预警和防控，提升保护区生物安全水平，保护珍稀水生动物资源，维护生物多样性，保障保护区生态安全、物种安全和周边社会公共卫生安全。根据保护区黑河干流和支流分布特点，干流计划每隔1km设置1条监测样线，监测样线不少于2km，每条样线横断面设置1个监测样方，干流共设置监测样线10条、监测样方10个，监测距离不少于20km。支流计划每条设置监测样线1条，监测距离不少2km，支流共设置监测样线10条、监测样方10个，监测距离不少于20km。本次监测共计设置监测样线20条、监测样方20个、监测距离不少于40km。监测周期为1年。根据水生动物的生活习性（繁殖期、迁徙期）和疫病流行特点，春季、夏季、秋季是各监测1次共3次，必要时可傍晚2小时后或夜间实施监测。优先采集有临床症状的活鱼、活虾等，每份样品不少于30尾；无临床症状的样品，每份采集150尾。对采集的样品进行检验检测，严格按照水生动物防疫技术规程等有关规定予以处置；开展流行病学调查和病原溯源工作，填写《流行病学调查表》和《染疫水生动物无害化处理记录表》。最终形成成果：通过专家评审形成《陕西黑河珍稀水生野生动物国家级自然保护区疫源疫病监测报告》，提供专项调查报告纸质版10份，电子版1套；现地调查原始记录表 (纸质和电子版) 1 套；调查工作照片及调查物种照等影像资料1套。</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77C52A68">
            <w:pPr>
              <w:jc w:val="center"/>
              <w:rPr>
                <w:rFonts w:hint="eastAsia" w:ascii="宋体" w:hAnsi="宋体" w:eastAsia="宋体" w:cs="宋体"/>
                <w:i w:val="0"/>
                <w:iCs w:val="0"/>
                <w:color w:val="000000"/>
                <w:sz w:val="21"/>
                <w:szCs w:val="21"/>
                <w:u w:val="none"/>
              </w:rPr>
            </w:pP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1FB71B45">
            <w:pPr>
              <w:jc w:val="cente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6FDBB39A">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ign w:val="bottom"/>
          </w:tcPr>
          <w:p w14:paraId="23D627DE">
            <w:pPr>
              <w:rPr>
                <w:rFonts w:hint="eastAsia" w:ascii="宋体" w:hAnsi="宋体" w:eastAsia="宋体" w:cs="宋体"/>
                <w:i w:val="0"/>
                <w:iCs w:val="0"/>
                <w:color w:val="000000"/>
                <w:sz w:val="21"/>
                <w:szCs w:val="21"/>
                <w:u w:val="none"/>
              </w:rPr>
            </w:pPr>
          </w:p>
        </w:tc>
      </w:tr>
      <w:tr w14:paraId="3E55C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4"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25932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CD4DE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外业调查费</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0C1782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根据保护区黑河干流和支流分布特点，干流计划每隔1km设置1条监测样线，监测样线不少于2km，每条样线横断面设置1个监测样方，干流共设置监测样线10条、监测样方10个，监测距离不少于20km。支流计划每条设置监测样线1条，监测距离不少2km，支流共设置监测样线10条、监测样方10个，监测距离不少于20km。本次监测共计设置监测样线20条、监测样方20个、监测距离不少于40km。监测周期为1年。根据水生动物的生活习性（繁殖期、迁徙期）和疫病流行特点，春季、夏季、秋季是各监测1次共3次，必要时可傍晚2小时后或夜间实施监测。样线样点调查5人</w:t>
            </w:r>
            <w:r>
              <w:rPr>
                <w:rStyle w:val="7"/>
                <w:rFonts w:eastAsia="宋体"/>
                <w:sz w:val="21"/>
                <w:szCs w:val="21"/>
                <w:lang w:val="en-US" w:eastAsia="zh-CN" w:bidi="ar"/>
              </w:rPr>
              <w:t>×</w:t>
            </w:r>
            <w:r>
              <w:rPr>
                <w:rStyle w:val="6"/>
                <w:sz w:val="21"/>
                <w:szCs w:val="21"/>
                <w:lang w:val="en-US" w:eastAsia="zh-CN" w:bidi="ar"/>
              </w:rPr>
              <w:t>30天</w:t>
            </w:r>
            <w:r>
              <w:rPr>
                <w:rStyle w:val="7"/>
                <w:rFonts w:eastAsia="宋体"/>
                <w:sz w:val="21"/>
                <w:szCs w:val="21"/>
                <w:lang w:val="en-US" w:eastAsia="zh-CN" w:bidi="ar"/>
              </w:rPr>
              <w:t>×</w:t>
            </w:r>
            <w:r>
              <w:rPr>
                <w:rStyle w:val="6"/>
                <w:sz w:val="21"/>
                <w:szCs w:val="21"/>
                <w:lang w:val="en-US" w:eastAsia="zh-CN" w:bidi="ar"/>
              </w:rPr>
              <w:t>4次。</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E67CC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人/天</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80FEC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5</w:t>
            </w:r>
            <w:r>
              <w:rPr>
                <w:rStyle w:val="7"/>
                <w:rFonts w:eastAsia="宋体"/>
                <w:sz w:val="21"/>
                <w:szCs w:val="21"/>
                <w:lang w:val="en-US" w:eastAsia="zh-CN" w:bidi="ar"/>
              </w:rPr>
              <w:t>×</w:t>
            </w:r>
            <w:r>
              <w:rPr>
                <w:rStyle w:val="6"/>
                <w:sz w:val="21"/>
                <w:szCs w:val="21"/>
                <w:lang w:val="en-US" w:eastAsia="zh-CN" w:bidi="ar"/>
              </w:rPr>
              <w:t>35</w:t>
            </w:r>
            <w:r>
              <w:rPr>
                <w:rStyle w:val="7"/>
                <w:rFonts w:eastAsia="宋体"/>
                <w:sz w:val="21"/>
                <w:szCs w:val="21"/>
                <w:lang w:val="en-US" w:eastAsia="zh-CN" w:bidi="ar"/>
              </w:rPr>
              <w:t>×</w:t>
            </w:r>
            <w:r>
              <w:rPr>
                <w:rStyle w:val="6"/>
                <w:sz w:val="21"/>
                <w:szCs w:val="21"/>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9A4F6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包括劳务费、住宿、租车费、伙食补助费和调查所需消耗设备和器材。</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DDAE4D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7485D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1"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20A3A0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4043DE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样品鉴定</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285738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据农业农村部有关规定，优先采集有临床症状的活鱼、活虾等，每份样品不少于30尾；无临床症状的样品，每份采集150尾。采样规格首选鱼苗和鱼种，同一时间、同一采样方、同一品种只能采一份样品。采样人员填写《现场采样记录表》，要求信息准确、完整，包括采样时间、地点、品种、数量、临床症状等。被抽样单位及抽样单位双方签字确认，表格一式三份，分别由保护区管理部门、采样人员和检测机构保存，并对采样样品送到检疫机构进行鉴定。</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145278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次</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170EB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5A693B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送专业机构给予样品鉴定</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09995C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32D8F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2"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11AFF6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23D0A5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样品检疫</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56E0F0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对发现有异常或疫病情况，按检疫机构提出的方案和措施进行检疫，检测机构将阳性结果按快报方式上报保护区管理部门；并及时将样品检测报告及阳性样品处理信息上传至相关的监测信息管理系统。</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D86FE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次</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408D36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4194F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请专业机构给予检疫</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ACDA74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5A4F1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EFDAF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400504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数据录入、检查、整理、建立数据库</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36496E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项目实施过程中，对每次野外调查监测的数据进行录入、检查、整理，建立数据库，保证数据的准确及合理性，需5人×20天。</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D9F04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人/天</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D38AD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5</w:t>
            </w:r>
            <w:r>
              <w:rPr>
                <w:rStyle w:val="7"/>
                <w:rFonts w:eastAsia="宋体"/>
                <w:sz w:val="21"/>
                <w:szCs w:val="21"/>
                <w:lang w:val="en-US" w:eastAsia="zh-CN" w:bidi="ar"/>
              </w:rPr>
              <w:t>×</w:t>
            </w:r>
            <w:r>
              <w:rPr>
                <w:rStyle w:val="6"/>
                <w:sz w:val="21"/>
                <w:szCs w:val="21"/>
                <w:lang w:val="en-US" w:eastAsia="zh-CN" w:bidi="ar"/>
              </w:rPr>
              <w:t>24</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33FF9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包括劳务费、伙食补助费、交通费和办公等其他开支</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ADC4D2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78F0A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5AA37E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37E642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数据分析及调查报告编制费</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22D857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调查监测结束后，需聘请本领域专业的科研院所相关专家，采用专业软件对外业调查的数据进行分析、制图、展示，并根据分析结果编制报告，需10人×20天。</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1BA57D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人/天</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98CB5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6"/>
                <w:sz w:val="21"/>
                <w:szCs w:val="21"/>
                <w:lang w:val="en-US" w:eastAsia="zh-CN" w:bidi="ar"/>
              </w:rPr>
              <w:t>10</w:t>
            </w:r>
            <w:r>
              <w:rPr>
                <w:rStyle w:val="7"/>
                <w:rFonts w:eastAsia="宋体"/>
                <w:sz w:val="21"/>
                <w:szCs w:val="21"/>
                <w:lang w:val="en-US" w:eastAsia="zh-CN" w:bidi="ar"/>
              </w:rPr>
              <w:t>×</w:t>
            </w:r>
            <w:r>
              <w:rPr>
                <w:rStyle w:val="6"/>
                <w:sz w:val="21"/>
                <w:szCs w:val="21"/>
                <w:lang w:val="en-US" w:eastAsia="zh-CN" w:bidi="ar"/>
              </w:rPr>
              <w:t>20</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BA77F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包括编制调查监测报告劳务费、伙食补助、数据分析、制图、打印、聘请专家等。</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6180AF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r>
      <w:tr w14:paraId="65FA1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16DE8E6E">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（二）</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265F3290">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购置疫源疫病设施设备</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2A3E5521">
            <w:pPr>
              <w:jc w:val="left"/>
              <w:rPr>
                <w:rFonts w:hint="eastAsia" w:ascii="宋体" w:hAnsi="宋体" w:eastAsia="宋体" w:cs="宋体"/>
                <w:i w:val="0"/>
                <w:iCs w:val="0"/>
                <w:color w:val="000000"/>
                <w:sz w:val="21"/>
                <w:szCs w:val="21"/>
                <w:u w:val="none"/>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4FF41224">
            <w:pPr>
              <w:jc w:val="center"/>
              <w:rPr>
                <w:rFonts w:hint="eastAsia" w:ascii="宋体" w:hAnsi="宋体" w:eastAsia="宋体" w:cs="宋体"/>
                <w:i w:val="0"/>
                <w:iCs w:val="0"/>
                <w:color w:val="000000"/>
                <w:sz w:val="21"/>
                <w:szCs w:val="21"/>
                <w:u w:val="none"/>
              </w:rPr>
            </w:pP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22871805">
            <w:pPr>
              <w:jc w:val="cente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8FD21F7">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E5F8B50">
            <w:pPr>
              <w:rPr>
                <w:rFonts w:hint="eastAsia" w:ascii="宋体" w:hAnsi="宋体" w:eastAsia="宋体" w:cs="宋体"/>
                <w:i w:val="0"/>
                <w:iCs w:val="0"/>
                <w:color w:val="000000"/>
                <w:sz w:val="21"/>
                <w:szCs w:val="21"/>
                <w:u w:val="none"/>
              </w:rPr>
            </w:pPr>
          </w:p>
        </w:tc>
      </w:tr>
      <w:tr w14:paraId="3B7E6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7DB0A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7543734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水生动物采样网具</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16E4214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手抄网（孔径 0.5 mm）、捞网（伸缩杆 2-3 米），用于捕捉小型水生动物（如鱼类、两栖类）样本。</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D479E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B21E3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D2E15F5">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5228E9FA">
            <w:pPr>
              <w:rPr>
                <w:rFonts w:hint="eastAsia" w:ascii="宋体" w:hAnsi="宋体" w:eastAsia="宋体" w:cs="宋体"/>
                <w:i w:val="0"/>
                <w:iCs w:val="0"/>
                <w:color w:val="000000"/>
                <w:sz w:val="21"/>
                <w:szCs w:val="21"/>
                <w:u w:val="none"/>
              </w:rPr>
            </w:pPr>
          </w:p>
        </w:tc>
      </w:tr>
      <w:tr w14:paraId="75DD1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E701B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1803409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防护装备</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60023F6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一次性手套（100 副）、防护服（5 套）、护目镜，保障采样人员安全，避免交叉感染。</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64D318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批</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552045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7C2BD78">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44BF5F2">
            <w:pPr>
              <w:rPr>
                <w:rFonts w:hint="eastAsia" w:ascii="宋体" w:hAnsi="宋体" w:eastAsia="宋体" w:cs="宋体"/>
                <w:i w:val="0"/>
                <w:iCs w:val="0"/>
                <w:color w:val="000000"/>
                <w:sz w:val="21"/>
                <w:szCs w:val="21"/>
                <w:u w:val="none"/>
              </w:rPr>
            </w:pPr>
          </w:p>
        </w:tc>
      </w:tr>
      <w:tr w14:paraId="66168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67D49C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7E8054E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便携式 PCR 仪</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288B36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小型，支持快速核酸检测（如禽流感、鲤春病毒等），适配水生动物常见病原体检测，操作简便，续航≥4小时。</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263D70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1B2628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22DCE61D">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990A16E">
            <w:pPr>
              <w:rPr>
                <w:rFonts w:hint="eastAsia" w:ascii="宋体" w:hAnsi="宋体" w:eastAsia="宋体" w:cs="宋体"/>
                <w:i w:val="0"/>
                <w:iCs w:val="0"/>
                <w:color w:val="000000"/>
                <w:sz w:val="21"/>
                <w:szCs w:val="21"/>
                <w:u w:val="none"/>
              </w:rPr>
            </w:pPr>
          </w:p>
        </w:tc>
      </w:tr>
      <w:tr w14:paraId="39D86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316AEF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0A451A2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胶体金检测试纸条</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0AB8433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针对霍乱弧菌、禽流感病毒、寄生虫抗体等，现场快速筛查，15-20 分钟出结果。</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31EE74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盒</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3C9252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3876CD9">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0B076E70">
            <w:pPr>
              <w:rPr>
                <w:rFonts w:hint="eastAsia" w:ascii="宋体" w:hAnsi="宋体" w:eastAsia="宋体" w:cs="宋体"/>
                <w:i w:val="0"/>
                <w:iCs w:val="0"/>
                <w:color w:val="000000"/>
                <w:sz w:val="21"/>
                <w:szCs w:val="21"/>
                <w:u w:val="none"/>
              </w:rPr>
            </w:pPr>
          </w:p>
        </w:tc>
      </w:tr>
      <w:tr w14:paraId="4F8D7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716D6B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38393F6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便携式显微镜</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133313A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放大倍数 40-1000 倍，带数码成像功能，观察寄生虫卵、细菌形态，支持样本拍照存档。</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6CBA5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38DCF9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39EEAD2">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3601FB1C">
            <w:pPr>
              <w:rPr>
                <w:rFonts w:hint="eastAsia" w:ascii="宋体" w:hAnsi="宋体" w:eastAsia="宋体" w:cs="宋体"/>
                <w:i w:val="0"/>
                <w:iCs w:val="0"/>
                <w:color w:val="000000"/>
                <w:sz w:val="21"/>
                <w:szCs w:val="21"/>
                <w:u w:val="none"/>
              </w:rPr>
            </w:pPr>
          </w:p>
        </w:tc>
      </w:tr>
      <w:tr w14:paraId="6544D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3F2762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0E0F744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水质快速检测盒</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2DB1B69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 pH、溶解氧、氨氮、重金属（如铜、汞），辅助分析水质与疫病发生的关联。</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498827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B416B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6F9B91CB">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0C6358B">
            <w:pPr>
              <w:rPr>
                <w:rFonts w:hint="eastAsia" w:ascii="宋体" w:hAnsi="宋体" w:eastAsia="宋体" w:cs="宋体"/>
                <w:i w:val="0"/>
                <w:iCs w:val="0"/>
                <w:color w:val="000000"/>
                <w:sz w:val="21"/>
                <w:szCs w:val="21"/>
                <w:u w:val="none"/>
              </w:rPr>
            </w:pPr>
          </w:p>
        </w:tc>
      </w:tr>
      <w:tr w14:paraId="6DE4F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4B4CEB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638F46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核酸提取试剂盒</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0172914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配套便携式 PCR 仪使用，快速提取样本核酸，每盒可处理 20 份样本，满足短期检测需求。</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258DAE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D1F4A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1A8D5592">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540832C">
            <w:pPr>
              <w:rPr>
                <w:rFonts w:hint="eastAsia" w:ascii="宋体" w:hAnsi="宋体" w:eastAsia="宋体" w:cs="宋体"/>
                <w:i w:val="0"/>
                <w:iCs w:val="0"/>
                <w:color w:val="000000"/>
                <w:sz w:val="21"/>
                <w:szCs w:val="21"/>
                <w:u w:val="none"/>
              </w:rPr>
            </w:pPr>
          </w:p>
        </w:tc>
      </w:tr>
      <w:tr w14:paraId="01064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2781AC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721C9EF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样本收纳箱</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3C5DA26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防震、防水，分层收纳采样工具和样本，保护样本和设备在运输中不受损。</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0988A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73C6BD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41993946">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69587B6">
            <w:pPr>
              <w:rPr>
                <w:rFonts w:hint="eastAsia" w:ascii="宋体" w:hAnsi="宋体" w:eastAsia="宋体" w:cs="宋体"/>
                <w:i w:val="0"/>
                <w:iCs w:val="0"/>
                <w:color w:val="000000"/>
                <w:sz w:val="21"/>
                <w:szCs w:val="21"/>
                <w:u w:val="none"/>
              </w:rPr>
            </w:pPr>
          </w:p>
        </w:tc>
      </w:tr>
      <w:tr w14:paraId="69871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62" w:type="dxa"/>
            <w:tcBorders>
              <w:top w:val="single" w:color="000000" w:sz="4" w:space="0"/>
              <w:left w:val="single" w:color="000000" w:sz="4" w:space="0"/>
              <w:bottom w:val="single" w:color="000000" w:sz="4" w:space="0"/>
              <w:right w:val="single" w:color="000000" w:sz="4" w:space="0"/>
            </w:tcBorders>
            <w:noWrap w:val="0"/>
            <w:vAlign w:val="center"/>
          </w:tcPr>
          <w:p w14:paraId="03259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113" w:type="dxa"/>
            <w:tcBorders>
              <w:top w:val="single" w:color="000000" w:sz="4" w:space="0"/>
              <w:left w:val="single" w:color="000000" w:sz="4" w:space="0"/>
              <w:bottom w:val="single" w:color="000000" w:sz="4" w:space="0"/>
              <w:right w:val="single" w:color="000000" w:sz="4" w:space="0"/>
            </w:tcBorders>
            <w:noWrap w:val="0"/>
            <w:vAlign w:val="center"/>
          </w:tcPr>
          <w:p w14:paraId="1C1FEE0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电子天平</w:t>
            </w:r>
          </w:p>
        </w:tc>
        <w:tc>
          <w:tcPr>
            <w:tcW w:w="7131" w:type="dxa"/>
            <w:tcBorders>
              <w:top w:val="single" w:color="000000" w:sz="4" w:space="0"/>
              <w:left w:val="single" w:color="000000" w:sz="4" w:space="0"/>
              <w:bottom w:val="single" w:color="000000" w:sz="4" w:space="0"/>
              <w:right w:val="single" w:color="000000" w:sz="4" w:space="0"/>
            </w:tcBorders>
            <w:noWrap w:val="0"/>
            <w:vAlign w:val="center"/>
          </w:tcPr>
          <w:p w14:paraId="3E02D4F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精度 0.01g，用于称量试剂或样本量量程（g）：220；可读性（mg）：±0.1；重复性：±0.1，线性（mg)：±0.2； 工作稳度：+15°～+35℃   校准方式（s）：外校。实验室级小型天平，适配试剂配置。</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0D0CED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63" w:type="dxa"/>
            <w:tcBorders>
              <w:top w:val="single" w:color="000000" w:sz="4" w:space="0"/>
              <w:left w:val="single" w:color="000000" w:sz="4" w:space="0"/>
              <w:bottom w:val="single" w:color="000000" w:sz="4" w:space="0"/>
              <w:right w:val="single" w:color="000000" w:sz="4" w:space="0"/>
            </w:tcBorders>
            <w:noWrap w:val="0"/>
            <w:vAlign w:val="center"/>
          </w:tcPr>
          <w:p w14:paraId="4F3E0C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89318D3">
            <w:pPr>
              <w:rPr>
                <w:rFonts w:hint="eastAsia" w:ascii="宋体" w:hAnsi="宋体" w:eastAsia="宋体" w:cs="宋体"/>
                <w:i w:val="0"/>
                <w:iCs w:val="0"/>
                <w:color w:val="000000"/>
                <w:sz w:val="21"/>
                <w:szCs w:val="21"/>
                <w:u w:val="none"/>
              </w:rPr>
            </w:pPr>
          </w:p>
        </w:tc>
        <w:tc>
          <w:tcPr>
            <w:tcW w:w="1125" w:type="dxa"/>
            <w:tcBorders>
              <w:top w:val="single" w:color="000000" w:sz="4" w:space="0"/>
              <w:left w:val="single" w:color="000000" w:sz="4" w:space="0"/>
              <w:bottom w:val="single" w:color="000000" w:sz="4" w:space="0"/>
              <w:right w:val="single" w:color="000000" w:sz="4" w:space="0"/>
            </w:tcBorders>
            <w:noWrap w:val="0"/>
            <w:vAlign w:val="center"/>
          </w:tcPr>
          <w:p w14:paraId="7ECC0252">
            <w:pPr>
              <w:rPr>
                <w:rFonts w:hint="eastAsia" w:ascii="宋体" w:hAnsi="宋体" w:eastAsia="宋体" w:cs="宋体"/>
                <w:i w:val="0"/>
                <w:iCs w:val="0"/>
                <w:color w:val="000000"/>
                <w:sz w:val="21"/>
                <w:szCs w:val="21"/>
                <w:u w:val="none"/>
              </w:rPr>
            </w:pPr>
          </w:p>
        </w:tc>
      </w:tr>
      <w:tr w14:paraId="6B8C4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4144" w:type="dxa"/>
            <w:gridSpan w:val="7"/>
            <w:tcBorders>
              <w:top w:val="single" w:color="000000" w:sz="4" w:space="0"/>
              <w:left w:val="single" w:color="000000" w:sz="4" w:space="0"/>
              <w:bottom w:val="single" w:color="000000" w:sz="4" w:space="0"/>
              <w:right w:val="single" w:color="000000" w:sz="4" w:space="0"/>
            </w:tcBorders>
            <w:noWrap/>
            <w:vAlign w:val="center"/>
          </w:tcPr>
          <w:p w14:paraId="59F3596C">
            <w:pPr>
              <w:rPr>
                <w:rFonts w:hint="default" w:ascii="宋体" w:hAnsi="宋体" w:eastAsia="宋体" w:cs="宋体"/>
                <w:b/>
                <w:bCs/>
                <w:i w:val="0"/>
                <w:iCs w:val="0"/>
                <w:color w:val="000000"/>
                <w:sz w:val="18"/>
                <w:szCs w:val="18"/>
                <w:u w:val="none"/>
                <w:lang w:val="en-US"/>
              </w:rPr>
            </w:pPr>
            <w:r>
              <w:rPr>
                <w:rFonts w:hint="eastAsia" w:ascii="宋体" w:hAnsi="宋体" w:cs="宋体"/>
                <w:b/>
                <w:bCs/>
                <w:i w:val="0"/>
                <w:iCs w:val="0"/>
                <w:color w:val="000000"/>
                <w:kern w:val="0"/>
                <w:sz w:val="20"/>
                <w:szCs w:val="20"/>
                <w:u w:val="none"/>
                <w:lang w:val="en-US" w:eastAsia="zh-CN" w:bidi="ar"/>
              </w:rPr>
              <w:t>总</w:t>
            </w:r>
            <w:r>
              <w:rPr>
                <w:rFonts w:hint="eastAsia" w:ascii="宋体" w:hAnsi="宋体" w:eastAsia="宋体" w:cs="宋体"/>
                <w:b/>
                <w:bCs/>
                <w:i w:val="0"/>
                <w:iCs w:val="0"/>
                <w:color w:val="000000"/>
                <w:kern w:val="0"/>
                <w:sz w:val="20"/>
                <w:szCs w:val="20"/>
                <w:u w:val="none"/>
                <w:lang w:val="en-US" w:eastAsia="zh-CN" w:bidi="ar"/>
              </w:rPr>
              <w:t>计：</w:t>
            </w:r>
            <w:r>
              <w:rPr>
                <w:rFonts w:hint="eastAsia" w:ascii="宋体" w:hAnsi="宋体" w:cs="宋体"/>
                <w:b/>
                <w:bCs/>
                <w:i w:val="0"/>
                <w:iCs w:val="0"/>
                <w:color w:val="000000"/>
                <w:kern w:val="0"/>
                <w:sz w:val="20"/>
                <w:szCs w:val="20"/>
                <w:u w:val="single"/>
                <w:lang w:val="en-US" w:eastAsia="zh-CN" w:bidi="ar"/>
              </w:rPr>
              <w:t xml:space="preserve">              </w:t>
            </w:r>
            <w:r>
              <w:rPr>
                <w:rFonts w:hint="eastAsia" w:ascii="宋体" w:hAnsi="宋体" w:cs="宋体"/>
                <w:b/>
                <w:bCs/>
                <w:i w:val="0"/>
                <w:iCs w:val="0"/>
                <w:color w:val="000000"/>
                <w:kern w:val="0"/>
                <w:sz w:val="20"/>
                <w:szCs w:val="20"/>
                <w:u w:val="none"/>
                <w:lang w:val="en-US" w:eastAsia="zh-CN" w:bidi="ar"/>
              </w:rPr>
              <w:t>元（小写）；</w:t>
            </w:r>
            <w:r>
              <w:rPr>
                <w:rFonts w:hint="eastAsia" w:ascii="宋体" w:hAnsi="宋体" w:cs="宋体"/>
                <w:b/>
                <w:bCs/>
                <w:i w:val="0"/>
                <w:iCs w:val="0"/>
                <w:color w:val="000000"/>
                <w:kern w:val="0"/>
                <w:sz w:val="20"/>
                <w:szCs w:val="20"/>
                <w:u w:val="single"/>
                <w:lang w:val="en-US" w:eastAsia="zh-CN" w:bidi="ar"/>
              </w:rPr>
              <w:t xml:space="preserve">              </w:t>
            </w:r>
            <w:r>
              <w:rPr>
                <w:rFonts w:hint="eastAsia" w:ascii="宋体" w:hAnsi="宋体" w:cs="宋体"/>
                <w:b/>
                <w:bCs/>
                <w:i w:val="0"/>
                <w:iCs w:val="0"/>
                <w:color w:val="000000"/>
                <w:kern w:val="0"/>
                <w:sz w:val="20"/>
                <w:szCs w:val="20"/>
                <w:u w:val="none"/>
                <w:lang w:val="en-US" w:eastAsia="zh-CN" w:bidi="ar"/>
              </w:rPr>
              <w:t>（大写）。</w:t>
            </w:r>
          </w:p>
        </w:tc>
      </w:tr>
    </w:tbl>
    <w:p w14:paraId="6EE79588"/>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526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ind w:firstLine="480"/>
    </w:pPr>
    <w:rPr>
      <w:rFonts w:ascii="宋体" w:hAnsi="宋体"/>
    </w:rPr>
  </w:style>
  <w:style w:type="paragraph" w:customStyle="1" w:styleId="3">
    <w:name w:val="font5"/>
    <w:basedOn w:val="1"/>
    <w:qFormat/>
    <w:uiPriority w:val="0"/>
    <w:pPr>
      <w:widowControl/>
      <w:spacing w:beforeAutospacing="1" w:afterAutospacing="1"/>
      <w:jc w:val="left"/>
    </w:pPr>
    <w:rPr>
      <w:rFonts w:hint="eastAsia" w:hAnsi="宋体"/>
    </w:rPr>
  </w:style>
  <w:style w:type="character" w:customStyle="1" w:styleId="6">
    <w:name w:val="font51"/>
    <w:basedOn w:val="5"/>
    <w:qFormat/>
    <w:uiPriority w:val="0"/>
    <w:rPr>
      <w:rFonts w:hint="eastAsia" w:ascii="宋体" w:hAnsi="宋体" w:eastAsia="宋体" w:cs="宋体"/>
      <w:color w:val="000000"/>
      <w:sz w:val="18"/>
      <w:szCs w:val="18"/>
      <w:u w:val="none"/>
    </w:rPr>
  </w:style>
  <w:style w:type="character" w:customStyle="1" w:styleId="7">
    <w:name w:val="font91"/>
    <w:basedOn w:val="5"/>
    <w:qFormat/>
    <w:uiPriority w:val="0"/>
    <w:rPr>
      <w:rFonts w:ascii="Arial" w:hAnsi="Arial" w:cs="Arial"/>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2026-01-28T03:20:23Z</dcterms:created>
  <dc:creator>sunli</dc:creator>
  <cp:lastModifiedBy>回忆只是过往</cp:lastModifiedBy>
  <dcterms:modified xsi:type="dcterms:W3CDTF">2026-01-28T03:20:45Z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eyJoZGlkIjoiNTA1ODFlMTM3MjcxMGM4OWM1YjAxMjMyODgzZDlkYzUiLCJ1c2VySWQiOiI1MzcxMzc5ODEifQ==</vt:lpwstr>
  </property>
  <property fmtid="{D5CDD505-2E9C-101B-9397-08002B2CF9AE}" pid="4" name="ICV">
    <vt:lpwstr>9E598BDD8100440588FA64C80E251A14_12</vt:lpwstr>
  </property>
</Properties>
</file>