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版本号：2026-ZYD-ZB-00320260127001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陕西黑河珍稀水生野生动物国家级自然保护区2025年中央财政林业草原生态保护恢复资金项目投资(第二批)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2026-ZYD-ZB-003</w:t>
      </w:r>
      <w:r>
        <w:br/>
      </w:r>
      <w:r>
        <w:br/>
      </w:r>
      <w:r>
        <w:br/>
      </w:r>
    </w:p>
    <w:p>
      <w:pPr>
        <w:pStyle w:val="null3"/>
        <w:jc w:val="center"/>
        <w:outlineLvl w:val="2"/>
      </w:pPr>
      <w:r>
        <w:rPr>
          <w:rFonts w:ascii="仿宋_GB2312" w:hAnsi="仿宋_GB2312" w:cs="仿宋_GB2312" w:eastAsia="仿宋_GB2312"/>
          <w:sz w:val="28"/>
          <w:b/>
        </w:rPr>
        <w:t>周至黑河湿地省级自然保护区管理中心</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周至黑河湿地省级自然保护区管理中心</w:t>
      </w:r>
      <w:r>
        <w:rPr>
          <w:rFonts w:ascii="仿宋_GB2312" w:hAnsi="仿宋_GB2312" w:cs="仿宋_GB2312" w:eastAsia="仿宋_GB2312"/>
        </w:rPr>
        <w:t>委托，拟对</w:t>
      </w:r>
      <w:r>
        <w:rPr>
          <w:rFonts w:ascii="仿宋_GB2312" w:hAnsi="仿宋_GB2312" w:cs="仿宋_GB2312" w:eastAsia="仿宋_GB2312"/>
        </w:rPr>
        <w:t>陕西黑河珍稀水生野生动物国家级自然保护区2025年中央财政林业草原生态保护恢复资金项目投资(第二批)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2026-ZYD-ZB-003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陕西黑河珍稀水生野生动物国家级自然保护区2025年中央财政林业草原生态保护恢复资金项目投资(第二批)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配置部分保护设施设备，完善巡护管护系统建设，有针对性地开展科研监测工作，广泛开展宣传教育活动，有效提升自然保护区综合保护管理能力，对保护秦岭珍稀水生野生动物种群和栖息地安全、维护生物多样性和保护秦岭自然生态稳定将产生积极的影响。项目建设内容包含1.大鲵及其栖息地监测2.购置巡护管护设备3.水生野生动物疫源疫病监测4.购置检测检疫设备5.公众宣传教育制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采购包1（陕西黑河珍稀水生野生动物国家级自然保护区2025年中央财政林业草原生态保护恢复资金项目投资(第二批)）：属于专门面向中小企业采购。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1、营业执照：供应商须具有独立承担民事责任能力的法人或其他组织，提供营业执照或事业单位法人证书或自然人的身份证明；</w:t>
      </w:r>
    </w:p>
    <w:p>
      <w:pPr>
        <w:pStyle w:val="null3"/>
      </w:pPr>
      <w:r>
        <w:rPr>
          <w:rFonts w:ascii="仿宋_GB2312" w:hAnsi="仿宋_GB2312" w:cs="仿宋_GB2312" w:eastAsia="仿宋_GB2312"/>
        </w:rPr>
        <w:t>2、供应商授权：法定代表人授权书（附法定代表人、被授权人身份证复印件）及被授权人身份证原件（法定代表人直接参加投标，须提供法定代表人身份证明及身份证原件）。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近三年内在经营活动中无重大违法记录的书面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5、具备履行合同所必需的设备和专业技术能力：提供具备履行合同所必需的设备和专业技术能力的说明及承诺书。</w:t>
      </w:r>
    </w:p>
    <w:p>
      <w:pPr>
        <w:pStyle w:val="null3"/>
      </w:pPr>
      <w:r>
        <w:rPr>
          <w:rFonts w:ascii="仿宋_GB2312" w:hAnsi="仿宋_GB2312" w:cs="仿宋_GB2312" w:eastAsia="仿宋_GB2312"/>
        </w:rPr>
        <w:t>6、本项目不接受联合体：非联合体投标承诺函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周至黑河湿地省级自然保护区管理中心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周至县工业路西上林东苑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周至黑河湿地省级自然保护区管理中心经办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029-87151869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陕西省西安市周至县环沙路与中心东街交叉口东北 180 米（陕西中扬德项目管理有限公司 ）</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029-85170827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采购包1：1,424,350.00元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代理服务费收费标准：按国家发展和改革委员会文件，发改价格[2011]534号的收费标准收取；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周至黑河湿地省级自然保护区管理中心</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周至黑河湿地省级自然保护区管理中心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周至黑河湿地省级自然保护区管理中心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1、质量标准：满足国家及行业规定的合格标准。2、验收依据：（1）合同文本； （2）国内相应的标准、规范；（3）招标文件、投标文件、承诺等。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联系电话：029-85170827</w:t>
      </w:r>
    </w:p>
    <w:p>
      <w:pPr>
        <w:pStyle w:val="null3"/>
      </w:pPr>
      <w:r>
        <w:rPr>
          <w:rFonts w:ascii="仿宋_GB2312" w:hAnsi="仿宋_GB2312" w:cs="仿宋_GB2312" w:eastAsia="仿宋_GB2312"/>
        </w:rPr>
        <w:t>地址：陕西省西安市周至县环沙路与中心东街交叉口东北 180 米（陕西中扬德项目管理有限公司）</w:t>
      </w:r>
    </w:p>
    <w:p>
      <w:pPr>
        <w:pStyle w:val="null3"/>
      </w:pPr>
      <w:r>
        <w:rPr>
          <w:rFonts w:ascii="仿宋_GB2312" w:hAnsi="仿宋_GB2312" w:cs="仿宋_GB2312" w:eastAsia="仿宋_GB2312"/>
        </w:rPr>
        <w:t>邮编：710400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配置部分保护设施设备，完善巡护管护系统建设，有针对性地开展科研监测工作，广泛开展宣传教育活动，有效提升自然保护区综合保护管理能力，对保护秦岭珍稀水生野生动物种群和栖息地安全、维护生物多样性和保护秦岭自然生态稳定将产生积极的影响。项目建设内容包含1.大鲵及其栖息地监测2.购置巡护管护设备3.水生野生动物疫源疫病监测4.购置检测检疫设备5.公众宣传教育制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1,424,350.00</w:t>
      </w:r>
    </w:p>
    <w:p>
      <w:pPr>
        <w:pStyle w:val="null3"/>
      </w:pPr>
      <w:r>
        <w:rPr>
          <w:rFonts w:ascii="仿宋_GB2312" w:hAnsi="仿宋_GB2312" w:cs="仿宋_GB2312" w:eastAsia="仿宋_GB2312"/>
        </w:rPr>
        <w:t>采购包最高限价（元）: 1,424,350.00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陕西黑河珍稀水生野生动物国家级自然保护区2025年中央财政林业草原生态保护恢复资金项目投资(第二批)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1,424,350.00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标的名称：陕西黑河珍稀水生野生动物国家级自然保护区2025年中央财政林业草原生态保护恢复资金项目投资(第二批)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5"/>
              <w:gridCol w:w="351"/>
              <w:gridCol w:w="1290"/>
              <w:gridCol w:w="133"/>
              <w:gridCol w:w="193"/>
              <w:gridCol w:w="404"/>
            </w:tblGrid>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建设内容</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主要参数</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备注</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一</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管（巡）护系统建设</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智能语音提示系统</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智能语音提示设备</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·供电方式：太阳能供电；</w:t>
                  </w:r>
                  <w:r>
                    <w:br/>
                  </w:r>
                  <w:r>
                    <w:rPr>
                      <w:rFonts w:ascii="仿宋_GB2312" w:hAnsi="仿宋_GB2312" w:cs="仿宋_GB2312" w:eastAsia="仿宋_GB2312"/>
                      <w:sz w:val="18"/>
                      <w:color w:val="000000"/>
                    </w:rPr>
                    <w:t xml:space="preserve"> ·全天候自动感应，语音播放；</w:t>
                  </w:r>
                  <w:r>
                    <w:br/>
                  </w:r>
                  <w:r>
                    <w:rPr>
                      <w:rFonts w:ascii="仿宋_GB2312" w:hAnsi="仿宋_GB2312" w:cs="仿宋_GB2312" w:eastAsia="仿宋_GB2312"/>
                      <w:sz w:val="18"/>
                      <w:color w:val="000000"/>
                    </w:rPr>
                    <w:t xml:space="preserve"> ·高保真 MP3|WAV 音频播放，音质好，音色还原度高，声音宏亮，高中低音全频服务；</w:t>
                  </w:r>
                  <w:r>
                    <w:br/>
                  </w:r>
                  <w:r>
                    <w:rPr>
                      <w:rFonts w:ascii="仿宋_GB2312" w:hAnsi="仿宋_GB2312" w:cs="仿宋_GB2312" w:eastAsia="仿宋_GB2312"/>
                      <w:sz w:val="18"/>
                      <w:color w:val="000000"/>
                    </w:rPr>
                    <w:t xml:space="preserve"> ·适用于各种场所,单个设备，最大音量可覆盖100-200平；</w:t>
                  </w:r>
                  <w:r>
                    <w:br/>
                  </w:r>
                  <w:r>
                    <w:rPr>
                      <w:rFonts w:ascii="仿宋_GB2312" w:hAnsi="仿宋_GB2312" w:cs="仿宋_GB2312" w:eastAsia="仿宋_GB2312"/>
                      <w:sz w:val="18"/>
                      <w:color w:val="000000"/>
                    </w:rPr>
                    <w:t xml:space="preserve"> ·人体感应器感应视角宽120°，有效感应距离0-20米；</w:t>
                  </w:r>
                  <w:r>
                    <w:br/>
                  </w:r>
                  <w:r>
                    <w:rPr>
                      <w:rFonts w:ascii="仿宋_GB2312" w:hAnsi="仿宋_GB2312" w:cs="仿宋_GB2312" w:eastAsia="仿宋_GB2312"/>
                      <w:sz w:val="18"/>
                      <w:color w:val="000000"/>
                    </w:rPr>
                    <w:t xml:space="preserve"> ·内置功放电路，足够的功率推动音箱；</w:t>
                  </w:r>
                  <w:r>
                    <w:br/>
                  </w:r>
                  <w:r>
                    <w:rPr>
                      <w:rFonts w:ascii="仿宋_GB2312" w:hAnsi="仿宋_GB2312" w:cs="仿宋_GB2312" w:eastAsia="仿宋_GB2312"/>
                      <w:sz w:val="18"/>
                      <w:color w:val="000000"/>
                    </w:rPr>
                    <w:t xml:space="preserve"> ·人经过感应区域时，全自动语音播放，无需人工干预；</w:t>
                  </w:r>
                  <w:r>
                    <w:br/>
                  </w:r>
                  <w:r>
                    <w:rPr>
                      <w:rFonts w:ascii="仿宋_GB2312" w:hAnsi="仿宋_GB2312" w:cs="仿宋_GB2312" w:eastAsia="仿宋_GB2312"/>
                      <w:sz w:val="18"/>
                      <w:color w:val="000000"/>
                    </w:rPr>
                    <w:t xml:space="preserve"> ·单个音箱可以覆盖0-100平方米音频空间立体感强；</w:t>
                  </w:r>
                  <w:r>
                    <w:br/>
                  </w:r>
                  <w:r>
                    <w:rPr>
                      <w:rFonts w:ascii="仿宋_GB2312" w:hAnsi="仿宋_GB2312" w:cs="仿宋_GB2312" w:eastAsia="仿宋_GB2312"/>
                      <w:sz w:val="18"/>
                      <w:color w:val="000000"/>
                    </w:rPr>
                    <w:t xml:space="preserve"> ·带红、蓝爆闪灯；                                </w:t>
                  </w:r>
                  <w:r>
                    <w:br/>
                  </w:r>
                  <w:r>
                    <w:rPr>
                      <w:rFonts w:ascii="仿宋_GB2312" w:hAnsi="仿宋_GB2312" w:cs="仿宋_GB2312" w:eastAsia="仿宋_GB2312"/>
                      <w:sz w:val="18"/>
                      <w:color w:val="000000"/>
                    </w:rPr>
                    <w:t xml:space="preserve"> ·音频：具有高音中低音双路喇叭；</w:t>
                  </w:r>
                  <w:r>
                    <w:br/>
                  </w:r>
                  <w:r>
                    <w:rPr>
                      <w:rFonts w:ascii="仿宋_GB2312" w:hAnsi="仿宋_GB2312" w:cs="仿宋_GB2312" w:eastAsia="仿宋_GB2312"/>
                      <w:sz w:val="18"/>
                      <w:color w:val="000000"/>
                    </w:rPr>
                    <w:t xml:space="preserve"> ·音频：MP3、WAV格式，无压缩，保持高品质音频输出；</w:t>
                  </w:r>
                  <w:r>
                    <w:br/>
                  </w:r>
                  <w:r>
                    <w:rPr>
                      <w:rFonts w:ascii="仿宋_GB2312" w:hAnsi="仿宋_GB2312" w:cs="仿宋_GB2312" w:eastAsia="仿宋_GB2312"/>
                      <w:sz w:val="18"/>
                      <w:color w:val="000000"/>
                    </w:rPr>
                    <w:t xml:space="preserve"> ·功率：大于20W, 大功率输出；</w:t>
                  </w:r>
                  <w:r>
                    <w:br/>
                  </w:r>
                  <w:r>
                    <w:rPr>
                      <w:rFonts w:ascii="仿宋_GB2312" w:hAnsi="仿宋_GB2312" w:cs="仿宋_GB2312" w:eastAsia="仿宋_GB2312"/>
                      <w:sz w:val="18"/>
                      <w:color w:val="000000"/>
                    </w:rPr>
                    <w:t xml:space="preserve"> ·频率：20-20 KHz , 全频音箱；</w:t>
                  </w:r>
                  <w:r>
                    <w:br/>
                  </w:r>
                  <w:r>
                    <w:rPr>
                      <w:rFonts w:ascii="仿宋_GB2312" w:hAnsi="仿宋_GB2312" w:cs="仿宋_GB2312" w:eastAsia="仿宋_GB2312"/>
                      <w:sz w:val="18"/>
                      <w:color w:val="000000"/>
                    </w:rPr>
                    <w:t xml:space="preserve"> ·响度：标准围绕 120dB; 适应人耳音频范围。</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含二次搬运</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一体化立杆</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·材质：镀锌钢，耐腐蚀，能适应不同的户外环境；</w:t>
                  </w:r>
                  <w:r>
                    <w:br/>
                  </w:r>
                  <w:r>
                    <w:rPr>
                      <w:rFonts w:ascii="仿宋_GB2312" w:hAnsi="仿宋_GB2312" w:cs="仿宋_GB2312" w:eastAsia="仿宋_GB2312"/>
                      <w:sz w:val="18"/>
                      <w:color w:val="000000"/>
                    </w:rPr>
                    <w:t xml:space="preserve"> ·高度：4米；</w:t>
                  </w:r>
                  <w:r>
                    <w:br/>
                  </w:r>
                  <w:r>
                    <w:rPr>
                      <w:rFonts w:ascii="仿宋_GB2312" w:hAnsi="仿宋_GB2312" w:cs="仿宋_GB2312" w:eastAsia="仿宋_GB2312"/>
                      <w:sz w:val="18"/>
                      <w:color w:val="000000"/>
                    </w:rPr>
                    <w:t xml:space="preserve"> ·直径和厚度：下部立杆直径为89mm，厚度为2mm；上部支撑杆长0.6米，直径89mm，厚度同样为2mm；</w:t>
                  </w:r>
                  <w:r>
                    <w:br/>
                  </w:r>
                  <w:r>
                    <w:rPr>
                      <w:rFonts w:ascii="仿宋_GB2312" w:hAnsi="仿宋_GB2312" w:cs="仿宋_GB2312" w:eastAsia="仿宋_GB2312"/>
                      <w:sz w:val="18"/>
                      <w:color w:val="000000"/>
                    </w:rPr>
                    <w:t xml:space="preserve"> ·防护等级：IP65防护等级，能有效防尘、防水，适应户外恶劣环境；</w:t>
                  </w:r>
                  <w:r>
                    <w:br/>
                  </w:r>
                  <w:r>
                    <w:rPr>
                      <w:rFonts w:ascii="仿宋_GB2312" w:hAnsi="仿宋_GB2312" w:cs="仿宋_GB2312" w:eastAsia="仿宋_GB2312"/>
                      <w:sz w:val="18"/>
                      <w:color w:val="000000"/>
                    </w:rPr>
                    <w:t xml:space="preserve"> ·加工方式：常见的加工方式为机加焊接，以确保立杆的结构强度；</w:t>
                  </w:r>
                  <w:r>
                    <w:br/>
                  </w:r>
                  <w:r>
                    <w:rPr>
                      <w:rFonts w:ascii="仿宋_GB2312" w:hAnsi="仿宋_GB2312" w:cs="仿宋_GB2312" w:eastAsia="仿宋_GB2312"/>
                      <w:sz w:val="18"/>
                      <w:color w:val="000000"/>
                    </w:rPr>
                    <w:t xml:space="preserve"> ·油漆：采用阿克苏粉末进行油漆处理。包含LED屏（450mm*1100mm),200W太阳能电池板，智能语音喊话器等功能</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含二次搬运</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线材辅材 </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电源线、网络连接线、音频线、安装支架、螺丝、螺栓、膨胀管、抱箍、防护外壳、接地装置等辅材；每个立杆距离约2~5km，考虑线材的长度</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基础处理</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·清理场地</w:t>
                  </w:r>
                  <w:r>
                    <w:br/>
                  </w:r>
                  <w:r>
                    <w:rPr>
                      <w:rFonts w:ascii="仿宋_GB2312" w:hAnsi="仿宋_GB2312" w:cs="仿宋_GB2312" w:eastAsia="仿宋_GB2312"/>
                      <w:sz w:val="18"/>
                      <w:color w:val="000000"/>
                    </w:rPr>
                    <w:t xml:space="preserve"> ·根据设备重量、地质条件等因素，设计合适的基础尺寸；</w:t>
                  </w:r>
                  <w:r>
                    <w:br/>
                  </w:r>
                  <w:r>
                    <w:rPr>
                      <w:rFonts w:ascii="仿宋_GB2312" w:hAnsi="仿宋_GB2312" w:cs="仿宋_GB2312" w:eastAsia="仿宋_GB2312"/>
                      <w:sz w:val="18"/>
                      <w:color w:val="000000"/>
                    </w:rPr>
                    <w:t xml:space="preserve"> ·按照设计要求进行开挖、钢筋绑扎、模板安装、混凝土浇筑等。项目地处秦岭深山腹地黑河湿地区域，原材运输远，同时包括原始路面的破除、预埋件的购置埋设、人工基础开挖，基础混凝土人工拌制及浇筑等</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安装调试</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完成硬件安装和软件设置后 ，对系统进行全面调式，检查设备的工作状态是否正常，语音提示是否清晰、准确，语音识别功能是否灵敏等。如发现问题，及时进行排查和解决。包括后期语音内容、文字内容的编辑和更换，日常巡护检查及更新等</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鱼探器</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鱼探器</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·显示器；分频率 彩色数字屏，尺寸≥7寸，1024*600；</w:t>
                  </w:r>
                  <w:r>
                    <w:br/>
                  </w:r>
                  <w:r>
                    <w:rPr>
                      <w:rFonts w:ascii="仿宋_GB2312" w:hAnsi="仿宋_GB2312" w:cs="仿宋_GB2312" w:eastAsia="仿宋_GB2312"/>
                      <w:sz w:val="18"/>
                      <w:color w:val="000000"/>
                    </w:rPr>
                    <w:t xml:space="preserve"> ·电源 DC12.6V,4500毫安电池，6-8小时续航；</w:t>
                  </w:r>
                  <w:r>
                    <w:br/>
                  </w:r>
                  <w:r>
                    <w:rPr>
                      <w:rFonts w:ascii="仿宋_GB2312" w:hAnsi="仿宋_GB2312" w:cs="仿宋_GB2312" w:eastAsia="仿宋_GB2312"/>
                      <w:sz w:val="18"/>
                      <w:color w:val="000000"/>
                    </w:rPr>
                    <w:t xml:space="preserve"> ·OSD语言 英语/中文等（多种语言可选择）；</w:t>
                  </w:r>
                  <w:r>
                    <w:br/>
                  </w:r>
                  <w:r>
                    <w:rPr>
                      <w:rFonts w:ascii="仿宋_GB2312" w:hAnsi="仿宋_GB2312" w:cs="仿宋_GB2312" w:eastAsia="仿宋_GB2312"/>
                      <w:sz w:val="18"/>
                      <w:color w:val="000000"/>
                    </w:rPr>
                    <w:t xml:space="preserve"> ·摄像头 补光灯≥20颗，CCD800线/AHD1080P，高强度金属材料（防水、防水腐、抗拉力）；</w:t>
                  </w:r>
                  <w:r>
                    <w:br/>
                  </w:r>
                  <w:r>
                    <w:rPr>
                      <w:rFonts w:ascii="仿宋_GB2312" w:hAnsi="仿宋_GB2312" w:cs="仿宋_GB2312" w:eastAsia="仿宋_GB2312"/>
                      <w:sz w:val="18"/>
                      <w:color w:val="000000"/>
                    </w:rPr>
                    <w:t xml:space="preserve"> ·防水测试 实测100米，防水等级IP68；</w:t>
                  </w:r>
                  <w:r>
                    <w:br/>
                  </w:r>
                  <w:r>
                    <w:rPr>
                      <w:rFonts w:ascii="仿宋_GB2312" w:hAnsi="仿宋_GB2312" w:cs="仿宋_GB2312" w:eastAsia="仿宋_GB2312"/>
                      <w:sz w:val="18"/>
                      <w:color w:val="000000"/>
                    </w:rPr>
                    <w:t xml:space="preserve"> ·视频线长和强度 视频线长≥50米，最大可承受150的拉力。高清夜视来鱼提醒浑水探鱼摄像头看鱼器，35米皮线+3.6杆</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主要保护对象资源调查</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（一）</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主要保护对象大鲵及其栖息地监测</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在陕西黑河珍稀水生野生动物国家级自然保护区开展保护区主要保护对象大鲵及其栖息地监测1项，监测周期为1年，在河道干流布设33个样方、河道5个支流布设30个样方，共计布设63个监测样方，春、夏、秋、冬季各监测1次共4次，重点在繁殖期和越冬期，监测时间应在日落2小时后或夜间进行调查。每个样方放置3个地笼网，每次布设189个地笼网，布设及监测需在河流中工作5小时，每个点位需4名调查人员，共开展4次，合计759个监测点位。最终成果需提供现地监测原始记录表纸质版252份、1份电子版及调查工作照、生境照、调查物种照（每个调查点两次调查各需提供工作照及生境照各1张），通过专家评审后最终形成的《陕西黑河珍稀水生野生动物国家级自然保护区大鲵资源及生存环境监测报告》纸质版10份及电子版1份，正式出版（含ISBN书号）调查报告200册。</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外业调查费</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在陕西黑河珍稀水生野生动物保护区区域内，地形地貌复杂，作业条件差。开展外业调查监测工作共计4次，每次调查监测大鲵种群数量、分布、动态变化、影响因子及其生境情况，每次调查监测63个点位，每个点位放置3个地笼网，布设及调查需在河流中工作5小时，每次需布设189个地笼网，共开展4次，合计63个监测样方，189个地笼网。外业调查：5人</w:t>
                  </w:r>
                  <w:r>
                    <w:rPr>
                      <w:rFonts w:ascii="仿宋_GB2312" w:hAnsi="仿宋_GB2312" w:cs="仿宋_GB2312" w:eastAsia="仿宋_GB2312"/>
                      <w:sz w:val="18"/>
                      <w:color w:val="000000"/>
                    </w:rPr>
                    <w:t>×</w:t>
                  </w:r>
                  <w:r>
                    <w:rPr>
                      <w:rFonts w:ascii="仿宋_GB2312" w:hAnsi="仿宋_GB2312" w:cs="仿宋_GB2312" w:eastAsia="仿宋_GB2312"/>
                      <w:sz w:val="18"/>
                      <w:color w:val="000000"/>
                    </w:rPr>
                    <w:t>35天</w:t>
                  </w:r>
                  <w:r>
                    <w:rPr>
                      <w:rFonts w:ascii="仿宋_GB2312" w:hAnsi="仿宋_GB2312" w:cs="仿宋_GB2312" w:eastAsia="仿宋_GB2312"/>
                      <w:sz w:val="18"/>
                      <w:color w:val="000000"/>
                    </w:rPr>
                    <w:t>×</w:t>
                  </w:r>
                  <w:r>
                    <w:rPr>
                      <w:rFonts w:ascii="仿宋_GB2312" w:hAnsi="仿宋_GB2312" w:cs="仿宋_GB2312" w:eastAsia="仿宋_GB2312"/>
                      <w:sz w:val="18"/>
                      <w:color w:val="000000"/>
                    </w:rPr>
                    <w:t>4次。</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人/天</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包括劳务费、住宿、租车费、伙食补助费和调查所需消耗设备和器材。</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内业数据整理、分析、报告编制及正式出版</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本项目需要对采集的数据进行内业数据整理、分析、报告编制及出版水生动植物图鉴，主要包括数据录入、检查、整理、数据分析及调查报告编制费及编制及正式出版水生动植物图鉴（含省级以上出版社的ISBN书号）。</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数据录入、检查、整理、建立数据库</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项目实施过程中，对每次野外调查监测的数据进行录入、检查、整理，建立数据库，保证数据的准确及合理性，需5人×20天。</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人/天</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包括劳务费、伙食补助费、交通费和办公等其他开支</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数据分析及调查报告编制费</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调查监测结束后，需聘请本领域专业的科研院所相关专家，采用专业软件对外业调查的数据进行分析、制图、展示，并根据分析结果编制报告，需10人×20天。</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人/天</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2</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包括编制调查监测报告劳务费、伙食补助、数据分析、制图、打印、聘请专家等。</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出版图鉴（ISBN书号，编稿、校队、排版、设计及印刷）</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编制并出版水生动植物图鉴，包含中文版国家级出版社的ISBN书号，购买国家级出版社的ISBN书号。图鉴应遴选具有特色的水生生物种类，明确水生生物特征、地理分布、生理特点、保护状况等；图鉴应图文并茂地展示水生生物的相关信息，同时要加入环境保护的知识，增强对环境保护的认识；图鉴可以包含水生动物的分类、分布表。共出版200册。</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公共教育系统建设</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（一）</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制作宣传纪录片</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为进一步扩大公众宣传教育的深度和广度，营造保护水生野生动物的浓厚氛围，切实提高全民生态保护意识和认知度，本项目制作宣传纪录片和宣传品，重点介绍保护区内的大鲵、秦岭细鳞鲑、多鳞铲颌鱼等珍稀水生动物，展示其形态特征、生活习性及生存现状，揭示水生动物对维持水域生态平衡、净化水质及促进物质循环的重要作用，强调维持生物多样性保护的重要性；系统解读野生动物保护法、自然保护区条例等相关法规，明确非法捕捞、交易水生野生动物的法律后果，通过执法案例展示政策实施的必要性和成效，引导公众遵守保护规定；通过具体的保护措施，凸显“政府主导、社会参与”的保护模式；通过展示科普宣传活动，呼吁公众从拒绝购买非法渔具、不食用保护动物等日常行为做起，倡导公众参与保护行动；强调水生动物保护是“生态文明建设的重要组成部分”，倡导人与自然和谐共生的理念和社会共识；揭示水生动物面临的生存威胁，如栖息地破坏、非法捕捞、外来物种入侵等，并结合典型案例分析人类活动对生态系统的影响，展示气候变迁、水域污染等问题对保护区的间接冲击，强调保护行动的紧迫性与长期性。</w:t>
                  </w:r>
                  <w:r>
                    <w:br/>
                  </w:r>
                  <w:r>
                    <w:rPr>
                      <w:rFonts w:ascii="仿宋_GB2312" w:hAnsi="仿宋_GB2312" w:cs="仿宋_GB2312" w:eastAsia="仿宋_GB2312"/>
                      <w:sz w:val="18"/>
                      <w:color w:val="000000"/>
                    </w:rPr>
                    <w:t xml:space="preserve"> 视频格式与分辨率：原始素材采用4K分辨率（4096×2160），格式为XAVC-MXF，成片分辨率不低于1080P，帧速率25帧/秒，采样模式不低于4:2:2/10 bit，以保证画面细节与后期调色空间。</w:t>
                  </w:r>
                  <w:r>
                    <w:br/>
                  </w:r>
                  <w:r>
                    <w:rPr>
                      <w:rFonts w:ascii="仿宋_GB2312" w:hAnsi="仿宋_GB2312" w:cs="仿宋_GB2312" w:eastAsia="仿宋_GB2312"/>
                      <w:sz w:val="18"/>
                      <w:color w:val="000000"/>
                    </w:rPr>
                    <w:t xml:space="preserve"> 拍摄技术与设备：综合运用航拍（展现宏观地貌）、微距摄影（捕捉物种细节）、延时摄影（记录生态过程）等手段。</w:t>
                  </w:r>
                  <w:r>
                    <w:br/>
                  </w:r>
                  <w:r>
                    <w:rPr>
                      <w:rFonts w:ascii="仿宋_GB2312" w:hAnsi="仿宋_GB2312" w:cs="仿宋_GB2312" w:eastAsia="仿宋_GB2312"/>
                      <w:sz w:val="18"/>
                      <w:color w:val="000000"/>
                    </w:rPr>
                    <w:t xml:space="preserve"> 纪录片成果：20分钟纪录片及全部原始素材。</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分钟</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（二）</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宣传T恤</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为提高公众和社区周边群众保护意识，积极参与和支持保护区生态保护、珍稀水生野生动植物保护和建设工作，本项目购置宣传T恤350件，材质为纯棉面料。</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件</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四</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水生动物疫源疫病监测与防控</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（一）</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物种监测和环境因素监测</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为强化珍稀水生动物保护区水生动物疫病风险预警和防控，提升保护区生物安全水平，保护珍稀水生动物资源，维护生物多样性，保障保护区生态安全、物种安全和周边社会公共卫生安全。根据保护区黑河干流和支流分布特点，干流计划每隔1km设置1条监测样线，监测样线不少于2km，每条样线横断面设置1个监测样方，干流共设置监测样线10条、监测样方10个，监测距离不少于20km。支流计划每条设置监测样线1条，监测距离不少2km，支流共设置监测样线10条、监测样方10个，监测距离不少于20km。本次监测共计设置监测样线20条、监测样方20个、监测距离不少于40km。监测周期为1年。根据水生动物的生活习性（繁殖期、迁徙期）和疫病流行特点，春季、夏季、秋季是各监测1次共3次，必要时可傍晚2小时后或夜间实施监测。优先采集有临床症状的活鱼、活虾等，每份样品不少于30尾；无临床症状的样品，每份采集150尾。对采集的样品进行检验检测，严格按照水生动物防疫技术规程等有关规定予以处置；开展流行病学调查和病原溯源工作，填写《流行病学调查表》和《染疫水生动物无害化处理记录表》。最终形成成果：通过专家评审形成《陕西黑河珍稀水生野生动物国家级自然保护区疫源疫病监测报告》，提供专项调查报告纸质版10份，电子版1套；现地调查原始记录表 (纸质和电子版) 1 套；调查工作照片及调查物种照等影像资料1套。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外业调查费</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根据保护区黑河干流和支流分布特点，干流计划每隔1km设置1条监测样线，监测样线不少于2km，每条样线横断面设置1个监测样方，干流共设置监测样线10条、监测样方10个，监测距离不少于20km。支流计划每条设置监测样线1条，监测距离不少2km，支流共设置监测样线10条、监测样方10个，监测距离不少于20km。本次监测共计设置监测样线20条、监测样方20个、监测距离不少于40km。监测周期为1年。根据水生动物的生活习性（繁殖期、迁徙期）和疫病流行特点，春季、夏季、秋季是各监测1次共3次，必要时可傍晚2小时后或夜间实施监测。样线样点调查5人</w:t>
                  </w:r>
                  <w:r>
                    <w:rPr>
                      <w:rFonts w:ascii="仿宋_GB2312" w:hAnsi="仿宋_GB2312" w:cs="仿宋_GB2312" w:eastAsia="仿宋_GB2312"/>
                      <w:sz w:val="18"/>
                      <w:color w:val="000000"/>
                    </w:rPr>
                    <w:t>×</w:t>
                  </w:r>
                  <w:r>
                    <w:rPr>
                      <w:rFonts w:ascii="仿宋_GB2312" w:hAnsi="仿宋_GB2312" w:cs="仿宋_GB2312" w:eastAsia="仿宋_GB2312"/>
                      <w:sz w:val="18"/>
                      <w:color w:val="000000"/>
                    </w:rPr>
                    <w:t>30天</w:t>
                  </w:r>
                  <w:r>
                    <w:rPr>
                      <w:rFonts w:ascii="仿宋_GB2312" w:hAnsi="仿宋_GB2312" w:cs="仿宋_GB2312" w:eastAsia="仿宋_GB2312"/>
                      <w:sz w:val="18"/>
                      <w:color w:val="000000"/>
                    </w:rPr>
                    <w:t>×</w:t>
                  </w:r>
                  <w:r>
                    <w:rPr>
                      <w:rFonts w:ascii="仿宋_GB2312" w:hAnsi="仿宋_GB2312" w:cs="仿宋_GB2312" w:eastAsia="仿宋_GB2312"/>
                      <w:sz w:val="18"/>
                      <w:color w:val="000000"/>
                    </w:rPr>
                    <w:t>4次。</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人/天</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包括劳务费、住宿、租车费、伙食补助费和调查所需消耗设备和器材。</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样品鉴定</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根据农业农村部有关规定，优先采集有临床症状的活鱼、活虾等，每份样品不少于30尾；无临床症状的样品，每份采集150尾。采样规格首选鱼苗和鱼种，同一时间、同一采样方、同一品种只能采一份样品。采样人员填写《现场采样记录表》，要求信息准确、完整，包括采样时间、地点、品种、数量、临床症状等。被抽样单位及抽样单位双方签字确认，表格一式三份，分别由保护区管理部门、采样人员和检测机构保存，并对采样样品送到检疫机构进行鉴定。</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次</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送专业机构给予样品鉴定</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样品检疫</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对发现有异常或疫病情况，按检疫机构提出的方案和措施进行检疫，检测机构将阳性结果按快报方式上报保护区管理部门；并及时将样品检测报告及阳性样品处理信息上传至相关的监测信息管理系统。</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次</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请专业机构给予检疫</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数据录入、检查、整理、建立数据库</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项目实施过程中，对每次野外调查监测的数据进行录入、检查、整理，建立数据库，保证数据的准确及合理性，需5人×20天。</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人/天</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包括劳务费、伙食补助费、交通费和办公等其他开支</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数据分析及调查报告编制费</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调查监测结束后，需聘请本领域专业的科研院所相关专家，采用专业软件对外业调查的数据进行分析、制图、展示，并根据分析结果编制报告，需10人×20天。</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人/天</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20</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包括编制调查监测报告劳务费、伙食补助、数据分析、制图、打印、聘请专家等。</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购置疫源疫病设施设备</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水生动物采样网具</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手抄网（孔径 0.5 mm）、捞网（伸缩杆 2-3 米），用于捕捉小型水生动物（如鱼类、两栖类）样本。</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防护装备</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一次性手套（100 副）、防护服（5 套）、护目镜，保障采样人员安全，避免交叉感染。</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批</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便携式 PCR 仪</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小型，支持快速核酸检测（如禽流感、鲤春病毒等），适配水生动物常见病原体检测，操作简便，续航≥4小时。</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胶体金检测试纸条</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针对霍乱弧菌、禽流感病毒、寄生虫抗体等，现场快速筛查，15-20 分钟出结果。</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便携式显微镜</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放大倍数 40-1000 倍，带数码成像功能，观察寄生虫卵、细菌形态，支持样本拍照存档。</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水质快速检测盒</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检测 pH、溶解氧、氨氮、重金属（如铜、汞），辅助分析水质与疫病发生的关联。</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核酸提取试剂盒</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配套便携式 PCR 仪使用，快速提取样本核酸，每盒可处理 20 份样本，满足短期检测需求。</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50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样本收纳箱</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防震、防水，分层收纳采样工具和样本，保护样本和设备在运输中不受损。</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电子天平</w:t>
                  </w:r>
                </w:p>
              </w:tc>
              <w:tc>
                <w:tcPr>
                  <w:tcW w:type="dxa" w:w="1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精度 0.01g，用于称量试剂或样本量量程（g）：220；可读性（mg）：±0.1；重复性：±0.1，线性（mg)：±0.2； 工作稳度：+15°～+35℃   校准方式（s）：外校。实验室级小型天平，适配试剂配置。</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提供符合要求的服务，并负责服务中出现的任何问题；（2）本采购文件提出的服务内容及要求是最低限度的要求，供应商的服务方案应达到或优于本采购文件要求，且符合国家有关标准和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1、质量标准：满足国家及行业规定的合格标准。2、验收依据：（1）合同文本；（2）国内相应的标准、规范；（3）招标文件、投标文件、承诺等。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合同签订后，乙方需向甲方提供质量合格的项目调查方案和计划，并对项目召开启动会，甲方在财政资金申请到位后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完成全部工作的100%时，形成初步的调查报告，经过专家评审，需进行相关的问题修改，甲方在财政资金申请到位后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乙方提交的专项调查报告及相关的成果经专家评审通过后，甲方在财政资金申请到位后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4项目通过省市验收合格后，甲方在财政资金申请到位后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 （2）税收缴纳证明：供应商需提供开标截至日期前6个月内任意一个月的完税凭证或税务机关开具的完税证明任意税种；依法免税的应提供相关文件证明； （3）社会保障资金缴纳证明：供应商需提供开标截止日期前6个月内任意一个月的社会保障资金缴存单据或社保机构开具的社会保险参保缴费情况证明；依法不需要缴纳社会保障资金的应提供相关文件证明；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提供2024或2025年度经审计的财务报告或开标前六个月内其基本账户银行出具的资信证明，依法不需要缴纳社会保障资金的单位应提供相关证明材料；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近三年内在经营活动中无重大违法记录的书面声明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提供具备履行合同所必需的设备和专业技术能力的说明及承诺书。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非联合体投标承诺函</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售后服务方案.docx 服务内容及服务邀请应答表 数据及资料管理方案.docx 中小企业声明函 项目团队.docx 商务应答表 进度保障.docx 报价表 其他相关资料.docx 响应文件封面 项目重难点.docx 分项报价表.docx 应急预案.docx 供应商应提交的相关资格证明材料.docx 残疾人福利性单位声明函 拟投入的设备配置方案.docx 服务方案 标的清单 业绩相关证明材料.docx 项目背景及需求分析.docx 响应函 质量保障.docx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售后服务方案.docx 服务内容及服务邀请应答表 数据及资料管理方案.docx 中小企业声明函 项目团队.docx 商务应答表 进度保障.docx 报价表 响应文件封面 项目重难点.docx 分项报价表.docx 应急预案.docx 供应商应提交的相关资格证明材料.docx 残疾人福利性单位声明函 拟投入的设备配置方案.docx 服务方案 标的清单 业绩相关证明材料.docx 项目背景及需求分析.docx 响应函 质量保障.docx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售后服务方案.docx 服务内容及服务邀请应答表 数据及资料管理方案.docx 中小企业声明函 项目团队.docx 商务应答表 进度保障.docx 报价表 其他相关资料.docx 响应文件封面 项目重难点.docx 分项报价表.docx 应急预案.docx 供应商应提交的相关资格证明材料.docx 残疾人福利性单位声明函 拟投入的设备配置方案.docx 服务方案 标的清单 业绩相关证明材料.docx 项目背景及需求分析.docx 响应函 质量保障.docx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售后服务方案.docx 服务内容及服务邀请应答表 数据及资料管理方案.docx 中小企业声明函 项目团队.docx 商务应答表 进度保障.docx 报价表 其他相关资料.docx 响应文件封面 项目重难点.docx 分项报价表.docx 应急预案.docx 供应商应提交的相关资格证明材料.docx 残疾人福利性单位声明函 拟投入的设备配置方案.docx 服务方案 标的清单 业绩相关证明材料.docx 项目背景及需求分析.docx 响应函 质量保障.docx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一、评审内容：供应商针对本项目提供的项目背景及需求分析，包括但不限于：1、项目需求分析；2、项目背景分析；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项目背景及需求分析.docx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所投产品技术指标清楚，技术指标响应全部满足磋商文件技术参数要求得10分。 每有一项不满足招标文件技术参数要求的扣 0.2分，扣完为止。 注：需提供功能或参数的佐证材料，证明材料不限于产品合格证、检验报告、彩页、官网截图等。否则投标人自行承担因材料提供不全导致的评审风险）。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一、评审内容：供应商针对本项目提供的服务方案，包括但不限于：1、服务计划；2、具体可行的实施方案；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一、评审内容：供应商针对本项目提供的进度保障，包括但不限于：1、项目的总体计划安排；2、保证工作进度计划措施等。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进度保障.docx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一、评审内容：供应商针对本项目提供质量保障方案，包括但不限于：1、质量目标；2、质量保证措施等。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项目重难点</w:t>
            </w:r>
          </w:p>
        </w:tc>
        <w:tc>
          <w:tcPr>
            <w:tcW w:type="dxa" w:w="2492"/>
          </w:tcPr>
          <w:p>
            <w:pPr>
              <w:pStyle w:val="null3"/>
            </w:pPr>
            <w:r>
              <w:rPr>
                <w:rFonts w:ascii="仿宋_GB2312" w:hAnsi="仿宋_GB2312" w:cs="仿宋_GB2312" w:eastAsia="仿宋_GB2312"/>
              </w:rPr>
              <w:t>一、评审内容：供应商根据本项目服务内容的重难点提供包括但不限于：1、重难点分析；2、重难点解决措施。 二、赋分标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项目重难点.docx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一、评审内容：供应商针对本项目提供应急预案，包括但不限于：1、应急响应时限；2.应急处理措施等。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数据及资料管理方案</w:t>
            </w:r>
          </w:p>
        </w:tc>
        <w:tc>
          <w:tcPr>
            <w:tcW w:type="dxa" w:w="2492"/>
          </w:tcPr>
          <w:p>
            <w:pPr>
              <w:pStyle w:val="null3"/>
            </w:pPr>
            <w:r>
              <w:rPr>
                <w:rFonts w:ascii="仿宋_GB2312" w:hAnsi="仿宋_GB2312" w:cs="仿宋_GB2312" w:eastAsia="仿宋_GB2312"/>
              </w:rPr>
              <w:t>一、评审内容：供应商针对本项目提供的数据及资料管理方案。 二。赋分标准：内容全面详细、阐述条理清晰详尽符合本项需求得5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数据及资料管理方案.docx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一、评审内容：供应商针对本项目提供售后服务方案，包括但不限于：1、售后服务承诺；2、售后服务响应时限；3、售后服务保障措施等。 二、赋分标准：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 0-1.5分。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一、评审内容：供应商针对本项目提供的项目团队，包括但不限于：1、团队组织人员配置明细；2、团队人员管理制度；（注：须提供人员身份证、学历证、资格/职称证书等相关证明材料）； 二、赋分标准：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拟投入的设备配置方案</w:t>
            </w:r>
          </w:p>
        </w:tc>
        <w:tc>
          <w:tcPr>
            <w:tcW w:type="dxa" w:w="2492"/>
          </w:tcPr>
          <w:p>
            <w:pPr>
              <w:pStyle w:val="null3"/>
            </w:pPr>
            <w:r>
              <w:rPr>
                <w:rFonts w:ascii="仿宋_GB2312" w:hAnsi="仿宋_GB2312" w:cs="仿宋_GB2312" w:eastAsia="仿宋_GB2312"/>
              </w:rPr>
              <w:t>一、评审内容：供应商针对本项目提供的拟投入的设备配置方案； 二、赋分标准：内容全面详细、阐述条理清晰详尽符合本项需求得5分；以上评审内容每缺一项扣2.5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拟投入的设备配置方案.docx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2023年1月1日至今，供应商具有类似业绩，一份类似业绩得2分，本项最高6分。赋分依据：加盖供应商公章的合同复印件或中标通知书复印件。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详见附件：进度保障.docx</w:t>
      </w:r>
    </w:p>
    <w:p>
      <w:pPr>
        <w:pStyle w:val="null3"/>
        <w:ind w:firstLine="960"/>
      </w:pPr>
      <w:r>
        <w:rPr>
          <w:rFonts w:ascii="仿宋_GB2312" w:hAnsi="仿宋_GB2312" w:cs="仿宋_GB2312" w:eastAsia="仿宋_GB2312"/>
        </w:rPr>
        <w:t>详见附件：质量保障.docx</w:t>
      </w:r>
    </w:p>
    <w:p>
      <w:pPr>
        <w:pStyle w:val="null3"/>
        <w:ind w:firstLine="960"/>
      </w:pPr>
      <w:r>
        <w:rPr>
          <w:rFonts w:ascii="仿宋_GB2312" w:hAnsi="仿宋_GB2312" w:cs="仿宋_GB2312" w:eastAsia="仿宋_GB2312"/>
        </w:rPr>
        <w:t>详见附件：项目重难点.docx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详见附件：数据及资料管理方案.docx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详见附件：拟投入的设备配置方案.docx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详见附件：项目背景及需求分析.docx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