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版本号：BYZX2026-10120260131001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周至县人民医院医用设备计量检定项目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BYZX2026-101</w:t>
      </w:r>
      <w:r>
        <w:br/>
      </w:r>
      <w:r>
        <w:br/>
      </w:r>
      <w:r>
        <w:br/>
      </w:r>
    </w:p>
    <w:p>
      <w:pPr>
        <w:pStyle w:val="null3"/>
        <w:jc w:val="center"/>
        <w:outlineLvl w:val="2"/>
      </w:pPr>
      <w:r>
        <w:rPr>
          <w:rFonts w:ascii="仿宋_GB2312" w:hAnsi="仿宋_GB2312" w:cs="仿宋_GB2312" w:eastAsia="仿宋_GB2312"/>
          <w:sz w:val="28"/>
          <w:b/>
        </w:rPr>
        <w:t>西安市周至县人民医院</w:t>
      </w:r>
    </w:p>
    <w:p>
      <w:pPr>
        <w:pStyle w:val="null3"/>
        <w:jc w:val="center"/>
        <w:outlineLvl w:val="2"/>
      </w:pPr>
      <w:r>
        <w:rPr>
          <w:rFonts w:ascii="仿宋_GB2312" w:hAnsi="仿宋_GB2312" w:cs="仿宋_GB2312" w:eastAsia="仿宋_GB2312"/>
          <w:sz w:val="28"/>
          <w:b/>
        </w:rPr>
        <w:t>陕西百岳项目管理咨询有限公司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陕西百岳项目管理咨询有限公司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西安市周至县人民医院</w:t>
      </w:r>
      <w:r>
        <w:rPr>
          <w:rFonts w:ascii="仿宋_GB2312" w:hAnsi="仿宋_GB2312" w:cs="仿宋_GB2312" w:eastAsia="仿宋_GB2312"/>
        </w:rPr>
        <w:t>委托，拟对</w:t>
      </w:r>
      <w:r>
        <w:rPr>
          <w:rFonts w:ascii="仿宋_GB2312" w:hAnsi="仿宋_GB2312" w:cs="仿宋_GB2312" w:eastAsia="仿宋_GB2312"/>
        </w:rPr>
        <w:t>周至县人民医院医用设备计量检定项目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BYZX2026-101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周至县人民医院医用设备计量检定项目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为确保医用诊断治疗设备的测量安全、准确，对西安市周至县人民医院医疗设备进行计量检定服务。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采购包1（医用设备计量检定项目）：属于专门面向中小企业采购。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1、主体资格：具有独立承担民事责任能力的法人、其他组织或自然人，营业执照、组织机构代码证、税务登记证（三证合一只提供营业执照，事业单位提供事业单位法人证书，自然人应提供身份证）合法有效；</w:t>
      </w:r>
    </w:p>
    <w:p>
      <w:pPr>
        <w:pStyle w:val="null3"/>
      </w:pPr>
      <w:r>
        <w:rPr>
          <w:rFonts w:ascii="仿宋_GB2312" w:hAnsi="仿宋_GB2312" w:cs="仿宋_GB2312" w:eastAsia="仿宋_GB2312"/>
        </w:rPr>
        <w:t>2、身份证明：供应商应授权合法的人员参加磋商全过程，其中法定代表人/负责人直接参加的，须递交《法定代表人/负责人身份证明》和身份证；法定代表人/负责人授权代表参加的，须递交《法定代表人/负责人授权书》，非法人单位参照执行；</w:t>
      </w:r>
    </w:p>
    <w:p>
      <w:pPr>
        <w:pStyle w:val="null3"/>
      </w:pPr>
      <w:r>
        <w:rPr>
          <w:rFonts w:ascii="仿宋_GB2312" w:hAnsi="仿宋_GB2312" w:cs="仿宋_GB2312" w:eastAsia="仿宋_GB2312"/>
        </w:rPr>
        <w:t>3、财务状况报告：提供经审计的2024年度完整的财务报告（成立时间至提交响应文件截止时间不足一年的可提供成立后任意时段的资产负债表），审计报告应当经过注册会计师行业统一监管平台备案赋码）或在开标日期前六个月内其开户银行出具的资信证明或信用担保机构出具的投标担保函，以上三种形式的资料提供任何一种即可（分支机构如无法提供财务审计报告，须出具包含分支机构的财务数据的总公司财务审计报告）；</w:t>
      </w:r>
    </w:p>
    <w:p>
      <w:pPr>
        <w:pStyle w:val="null3"/>
      </w:pPr>
      <w:r>
        <w:rPr>
          <w:rFonts w:ascii="仿宋_GB2312" w:hAnsi="仿宋_GB2312" w:cs="仿宋_GB2312" w:eastAsia="仿宋_GB2312"/>
        </w:rPr>
        <w:t>4、税收缴纳证明：提供供应商开标前近六个月已缴纳任意一个月缴纳凭证或税务机关开具的完税证明，依法免税的应提供相关文件证明；</w:t>
      </w:r>
    </w:p>
    <w:p>
      <w:pPr>
        <w:pStyle w:val="null3"/>
      </w:pPr>
      <w:r>
        <w:rPr>
          <w:rFonts w:ascii="仿宋_GB2312" w:hAnsi="仿宋_GB2312" w:cs="仿宋_GB2312" w:eastAsia="仿宋_GB2312"/>
        </w:rPr>
        <w:t>5、社会保障资金缴纳证明：提供供应商开标前近六个月已缴存的任意一个月的社会保障资金缴存证明或社保机构开具的社会保险参保缴费情况证明；依法不需要缴纳社会保障资金的应提供相关文件证明；</w:t>
      </w:r>
    </w:p>
    <w:p>
      <w:pPr>
        <w:pStyle w:val="null3"/>
      </w:pPr>
      <w:r>
        <w:rPr>
          <w:rFonts w:ascii="仿宋_GB2312" w:hAnsi="仿宋_GB2312" w:cs="仿宋_GB2312" w:eastAsia="仿宋_GB2312"/>
        </w:rPr>
        <w:t>6、控股管理关系：单位负责人为同一人或者存在控股、管理关系的不同单位不得同时参加；</w:t>
      </w:r>
    </w:p>
    <w:p>
      <w:pPr>
        <w:pStyle w:val="null3"/>
      </w:pPr>
      <w:r>
        <w:rPr>
          <w:rFonts w:ascii="仿宋_GB2312" w:hAnsi="仿宋_GB2312" w:cs="仿宋_GB2312" w:eastAsia="仿宋_GB2312"/>
        </w:rPr>
        <w:t>7、无重大违法记录：参加政府采购活动前三年内，在经营活动中没有重大违法记录的书面声明；</w:t>
      </w:r>
    </w:p>
    <w:p>
      <w:pPr>
        <w:pStyle w:val="null3"/>
      </w:pPr>
      <w:r>
        <w:rPr>
          <w:rFonts w:ascii="仿宋_GB2312" w:hAnsi="仿宋_GB2312" w:cs="仿宋_GB2312" w:eastAsia="仿宋_GB2312"/>
        </w:rPr>
        <w:t>8、供应商应具有履行合同所必需的设备和专业技术能力：提供具有履行合同所必需的设备和专业技术能力的承诺函；</w:t>
      </w:r>
    </w:p>
    <w:p>
      <w:pPr>
        <w:pStyle w:val="null3"/>
      </w:pPr>
      <w:r>
        <w:rPr>
          <w:rFonts w:ascii="仿宋_GB2312" w:hAnsi="仿宋_GB2312" w:cs="仿宋_GB2312" w:eastAsia="仿宋_GB2312"/>
        </w:rPr>
        <w:t>9、信用记录：供应商不得被“信用中国”（www.creditchina.gov.cn）列入重大税收违法失信主体；不得被“中国执行信息公开网”（zxgk.court.gov.cn）列入失信被执行人名单；不得被“中国政府采购网”（www.ccgp.gov.cn）列入政府采购严重违法失信行为记录名单；</w:t>
      </w:r>
    </w:p>
    <w:p>
      <w:pPr>
        <w:pStyle w:val="null3"/>
      </w:pPr>
      <w:r>
        <w:rPr>
          <w:rFonts w:ascii="仿宋_GB2312" w:hAnsi="仿宋_GB2312" w:cs="仿宋_GB2312" w:eastAsia="仿宋_GB2312"/>
        </w:rPr>
        <w:t>10、法定计量检定机构计量检测授权证书：供应商具备中华人民共和国市场监督管理总局颁发的法定计量检定机构计量检测授权证书（含陕西省依法设置或陕西省质量技术监督局依法授权的法定计量检定机构），具备开展检定和校准业务的有效的资质证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周至县二曲街道工业路中段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西安市周至县人民医院经办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02985199312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陕西百岳项目管理咨询有限公司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西安市浐灞生态区欧亚大道欧亚国际一期B座10楼1007号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肖亚娟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18709207059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采购包1：434,610.00元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颁布《招标代理服务收费暂行办法》（计价格[2002]1980号）、国家发展和改革委员会办公厅颁布的《关于招标代理服务收费有关问题的通知》（发改办价格[2003]857号）文件规定执行。 不足6000元按6000元收取。 代理服务费缴纳账户： 开户名称：陕西百岳项目管理咨询有限公司 开户银行：华夏银行股份有限公司西安欧亚大道支行 银行账号：11474000000227339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西安市周至县人民医院</w:t>
      </w:r>
      <w:r>
        <w:rPr>
          <w:rFonts w:ascii="仿宋_GB2312" w:hAnsi="仿宋_GB2312" w:cs="仿宋_GB2312" w:eastAsia="仿宋_GB2312"/>
        </w:rPr>
        <w:t>和</w:t>
      </w:r>
      <w:r>
        <w:rPr>
          <w:rFonts w:ascii="仿宋_GB2312" w:hAnsi="仿宋_GB2312" w:cs="仿宋_GB2312" w:eastAsia="仿宋_GB2312"/>
        </w:rPr>
        <w:t>陕西百岳项目管理咨询有限公司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西安市周至县人民医院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陕西百岳项目管理咨询有限公司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陕西百岳项目管理咨询有限公司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1、竞争性磋商文件、响应文件、澄清表（函）； 2、合同及附件文本； 3、国家相应的标准、规范。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陕西百岳项目管理咨询有限公司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陕西百岳项目管理咨询有限公司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陕西百岳项目管理咨询有限公司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联系人：肖亚娟</w:t>
      </w:r>
    </w:p>
    <w:p>
      <w:pPr>
        <w:pStyle w:val="null3"/>
      </w:pPr>
      <w:r>
        <w:rPr>
          <w:rFonts w:ascii="仿宋_GB2312" w:hAnsi="仿宋_GB2312" w:cs="仿宋_GB2312" w:eastAsia="仿宋_GB2312"/>
        </w:rPr>
        <w:t>联系电话：18709207059</w:t>
      </w:r>
    </w:p>
    <w:p>
      <w:pPr>
        <w:pStyle w:val="null3"/>
      </w:pPr>
      <w:r>
        <w:rPr>
          <w:rFonts w:ascii="仿宋_GB2312" w:hAnsi="仿宋_GB2312" w:cs="仿宋_GB2312" w:eastAsia="仿宋_GB2312"/>
        </w:rPr>
        <w:t>地址：西安市浐灞生态区欧亚大道666号欧亚国际一期B座10楼1007室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为确保医用诊断治疗设备的测量安全、准确，对西安市周至县人民医院医疗设备进行计量检定服务。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434,610.00</w:t>
      </w:r>
    </w:p>
    <w:p>
      <w:pPr>
        <w:pStyle w:val="null3"/>
      </w:pPr>
      <w:r>
        <w:rPr>
          <w:rFonts w:ascii="仿宋_GB2312" w:hAnsi="仿宋_GB2312" w:cs="仿宋_GB2312" w:eastAsia="仿宋_GB2312"/>
        </w:rPr>
        <w:t>采购包最高限价（元）: 434,610.00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医用设备计量检定校准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434,610.00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标的名称：医用设备计量检定校准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420"/>
              <w:jc w:val="both"/>
            </w:pPr>
            <w:r>
              <w:rPr>
                <w:rFonts w:ascii="仿宋_GB2312" w:hAnsi="仿宋_GB2312" w:cs="仿宋_GB2312" w:eastAsia="仿宋_GB2312"/>
                <w:sz w:val="28"/>
                <w:b/>
              </w:rPr>
              <w:t>一、项目</w:t>
            </w:r>
            <w:r>
              <w:rPr>
                <w:rFonts w:ascii="仿宋_GB2312" w:hAnsi="仿宋_GB2312" w:cs="仿宋_GB2312" w:eastAsia="仿宋_GB2312"/>
                <w:sz w:val="28"/>
                <w:b/>
              </w:rPr>
              <w:t>概况</w:t>
            </w:r>
          </w:p>
          <w:p>
            <w:pPr>
              <w:pStyle w:val="null3"/>
              <w:ind w:firstLine="500"/>
              <w:jc w:val="both"/>
            </w:pPr>
            <w:r>
              <w:rPr>
                <w:rFonts w:ascii="仿宋_GB2312" w:hAnsi="仿宋_GB2312" w:cs="仿宋_GB2312" w:eastAsia="仿宋_GB2312"/>
                <w:sz w:val="25"/>
                <w:color w:val="000000"/>
              </w:rPr>
              <w:t>为确保医用诊断治疗设备的测量安全、准确</w:t>
            </w:r>
            <w:r>
              <w:rPr>
                <w:rFonts w:ascii="仿宋_GB2312" w:hAnsi="仿宋_GB2312" w:cs="仿宋_GB2312" w:eastAsia="仿宋_GB2312"/>
                <w:sz w:val="25"/>
                <w:color w:val="000000"/>
              </w:rPr>
              <w:t>，</w:t>
            </w:r>
            <w:r>
              <w:rPr>
                <w:rFonts w:ascii="仿宋_GB2312" w:hAnsi="仿宋_GB2312" w:cs="仿宋_GB2312" w:eastAsia="仿宋_GB2312"/>
                <w:sz w:val="25"/>
                <w:color w:val="000000"/>
              </w:rPr>
              <w:t>对西安市周至县人民医院医疗设备进行计量检定服务。</w:t>
            </w:r>
          </w:p>
          <w:p>
            <w:pPr>
              <w:pStyle w:val="null3"/>
              <w:spacing w:before="315"/>
              <w:ind w:left="420"/>
              <w:jc w:val="both"/>
            </w:pPr>
            <w:r>
              <w:rPr>
                <w:rFonts w:ascii="仿宋_GB2312" w:hAnsi="仿宋_GB2312" w:cs="仿宋_GB2312" w:eastAsia="仿宋_GB2312"/>
                <w:sz w:val="28"/>
                <w:b/>
              </w:rPr>
              <w:t>二、服务内容</w:t>
            </w:r>
          </w:p>
          <w:p>
            <w:pPr>
              <w:pStyle w:val="null3"/>
              <w:ind w:left="555"/>
              <w:jc w:val="both"/>
            </w:pPr>
            <w:r>
              <w:rPr>
                <w:rFonts w:ascii="仿宋_GB2312" w:hAnsi="仿宋_GB2312" w:cs="仿宋_GB2312" w:eastAsia="仿宋_GB2312"/>
                <w:sz w:val="26"/>
                <w:b/>
                <w:color w:val="000000"/>
              </w:rPr>
              <w:t>（</w:t>
            </w:r>
            <w:r>
              <w:rPr>
                <w:rFonts w:ascii="仿宋_GB2312" w:hAnsi="仿宋_GB2312" w:cs="仿宋_GB2312" w:eastAsia="仿宋_GB2312"/>
                <w:sz w:val="26"/>
                <w:b/>
                <w:color w:val="000000"/>
              </w:rPr>
              <w:t>一</w:t>
            </w:r>
            <w:r>
              <w:rPr>
                <w:rFonts w:ascii="仿宋_GB2312" w:hAnsi="仿宋_GB2312" w:cs="仿宋_GB2312" w:eastAsia="仿宋_GB2312"/>
                <w:sz w:val="26"/>
                <w:b/>
                <w:color w:val="000000"/>
              </w:rPr>
              <w:t>）、</w:t>
            </w:r>
            <w:r>
              <w:rPr>
                <w:rFonts w:ascii="仿宋_GB2312" w:hAnsi="仿宋_GB2312" w:cs="仿宋_GB2312" w:eastAsia="仿宋_GB2312"/>
                <w:sz w:val="26"/>
                <w:b/>
                <w:color w:val="000000"/>
              </w:rPr>
              <w:t>服务</w:t>
            </w:r>
            <w:r>
              <w:rPr>
                <w:rFonts w:ascii="仿宋_GB2312" w:hAnsi="仿宋_GB2312" w:cs="仿宋_GB2312" w:eastAsia="仿宋_GB2312"/>
                <w:sz w:val="26"/>
                <w:b/>
                <w:color w:val="000000"/>
              </w:rPr>
              <w:t>内容及</w:t>
            </w:r>
            <w:r>
              <w:rPr>
                <w:rFonts w:ascii="仿宋_GB2312" w:hAnsi="仿宋_GB2312" w:cs="仿宋_GB2312" w:eastAsia="仿宋_GB2312"/>
                <w:sz w:val="26"/>
                <w:b/>
                <w:color w:val="000000"/>
              </w:rPr>
              <w:t>要求</w:t>
            </w:r>
          </w:p>
          <w:p>
            <w:pPr>
              <w:pStyle w:val="null3"/>
              <w:ind w:firstLine="500"/>
              <w:jc w:val="both"/>
            </w:pPr>
            <w:r>
              <w:rPr>
                <w:rFonts w:ascii="仿宋_GB2312" w:hAnsi="仿宋_GB2312" w:cs="仿宋_GB2312" w:eastAsia="仿宋_GB2312"/>
                <w:sz w:val="25"/>
                <w:color w:val="000000"/>
              </w:rPr>
              <w:t>1.服务单位应按照计量法、计量检定规程和计量校准规范开展工作，并提供符合主管部门要求的结果报告。</w:t>
            </w:r>
          </w:p>
          <w:p>
            <w:pPr>
              <w:pStyle w:val="null3"/>
              <w:ind w:firstLine="500"/>
              <w:jc w:val="both"/>
            </w:pPr>
            <w:r>
              <w:rPr>
                <w:rFonts w:ascii="仿宋_GB2312" w:hAnsi="仿宋_GB2312" w:cs="仿宋_GB2312" w:eastAsia="仿宋_GB2312"/>
                <w:sz w:val="25"/>
                <w:color w:val="000000"/>
              </w:rPr>
              <w:t>2.医院提供现场工作条件，并统筹协调临床科室检测时间。服务方制定技术方案，提供检定、校准仪器设备的基标准器，并对所检定、校准的仪器负责。</w:t>
            </w:r>
          </w:p>
          <w:p>
            <w:pPr>
              <w:pStyle w:val="null3"/>
              <w:ind w:firstLine="500"/>
              <w:jc w:val="both"/>
            </w:pPr>
            <w:r>
              <w:rPr>
                <w:rFonts w:ascii="仿宋_GB2312" w:hAnsi="仿宋_GB2312" w:cs="仿宋_GB2312" w:eastAsia="仿宋_GB2312"/>
                <w:sz w:val="25"/>
                <w:color w:val="000000"/>
              </w:rPr>
              <w:t>3.计量检定校准工作不得对外进行分包，对检测过程中不符合技术规范要求的计量仪器，医院通过维修后再委托服务方重新检测，服务方不重复收费。</w:t>
            </w:r>
          </w:p>
          <w:p>
            <w:pPr>
              <w:pStyle w:val="null3"/>
              <w:ind w:firstLine="500"/>
              <w:jc w:val="both"/>
            </w:pPr>
            <w:r>
              <w:rPr>
                <w:rFonts w:ascii="仿宋_GB2312" w:hAnsi="仿宋_GB2312" w:cs="仿宋_GB2312" w:eastAsia="仿宋_GB2312"/>
                <w:sz w:val="25"/>
                <w:color w:val="000000"/>
              </w:rPr>
              <w:t>4.在计量检测一年有效期内如有上级部门对医院设备计量检测方面进行检查涉及经济处罚需由中标方承担。</w:t>
            </w:r>
          </w:p>
          <w:p>
            <w:pPr>
              <w:pStyle w:val="null3"/>
              <w:ind w:firstLine="500"/>
              <w:jc w:val="both"/>
            </w:pPr>
            <w:r>
              <w:rPr>
                <w:rFonts w:ascii="仿宋_GB2312" w:hAnsi="仿宋_GB2312" w:cs="仿宋_GB2312" w:eastAsia="仿宋_GB2312"/>
                <w:sz w:val="25"/>
                <w:color w:val="000000"/>
              </w:rPr>
              <w:t>5.中标方承担一年两次血压计鉴定，免费提供水银2瓶（规格：500g/瓶），并无其他费用。</w:t>
            </w:r>
          </w:p>
          <w:p>
            <w:pPr>
              <w:pStyle w:val="null3"/>
              <w:ind w:left="555"/>
              <w:jc w:val="both"/>
            </w:pPr>
            <w:r>
              <w:rPr>
                <w:rFonts w:ascii="仿宋_GB2312" w:hAnsi="仿宋_GB2312" w:cs="仿宋_GB2312" w:eastAsia="仿宋_GB2312"/>
                <w:sz w:val="26"/>
                <w:b/>
                <w:color w:val="000000"/>
              </w:rPr>
              <w:t>（</w:t>
            </w:r>
            <w:r>
              <w:rPr>
                <w:rFonts w:ascii="仿宋_GB2312" w:hAnsi="仿宋_GB2312" w:cs="仿宋_GB2312" w:eastAsia="仿宋_GB2312"/>
                <w:sz w:val="26"/>
                <w:b/>
                <w:color w:val="000000"/>
              </w:rPr>
              <w:t>二</w:t>
            </w:r>
            <w:r>
              <w:rPr>
                <w:rFonts w:ascii="仿宋_GB2312" w:hAnsi="仿宋_GB2312" w:cs="仿宋_GB2312" w:eastAsia="仿宋_GB2312"/>
                <w:sz w:val="26"/>
                <w:b/>
                <w:color w:val="000000"/>
              </w:rPr>
              <w:t>）、</w:t>
            </w:r>
            <w:r>
              <w:rPr>
                <w:rFonts w:ascii="仿宋_GB2312" w:hAnsi="仿宋_GB2312" w:cs="仿宋_GB2312" w:eastAsia="仿宋_GB2312"/>
                <w:sz w:val="26"/>
                <w:b/>
                <w:color w:val="000000"/>
              </w:rPr>
              <w:t>技术要求</w:t>
            </w:r>
          </w:p>
          <w:p>
            <w:pPr>
              <w:pStyle w:val="null3"/>
              <w:ind w:firstLine="560"/>
              <w:jc w:val="both"/>
            </w:pPr>
            <w:r>
              <w:rPr>
                <w:rFonts w:ascii="仿宋_GB2312" w:hAnsi="仿宋_GB2312" w:cs="仿宋_GB2312" w:eastAsia="仿宋_GB2312"/>
                <w:sz w:val="25"/>
                <w:color w:val="000000"/>
              </w:rPr>
              <w:t>1、强检医用计量器具登记，协助采购单位，以国家市场监督管理局的要求为标准完成全院强检医疗设备在中国电子质量监督(e-CQS)系统上的登记造册。要求在合同签订后30日历日内完成。</w:t>
            </w:r>
          </w:p>
          <w:p>
            <w:pPr>
              <w:pStyle w:val="null3"/>
              <w:ind w:right="45" w:firstLine="560"/>
              <w:jc w:val="both"/>
            </w:pPr>
            <w:r>
              <w:rPr>
                <w:rFonts w:ascii="仿宋_GB2312" w:hAnsi="仿宋_GB2312" w:cs="仿宋_GB2312" w:eastAsia="仿宋_GB2312"/>
                <w:sz w:val="25"/>
                <w:color w:val="000000"/>
              </w:rPr>
              <w:t>2、强检医用设备计量检定工作，协助采购单位，按年检时限对全院强检医用设备进行计量检定，要求在合同签订后30日历日内完成。</w:t>
            </w:r>
          </w:p>
          <w:p>
            <w:pPr>
              <w:pStyle w:val="null3"/>
              <w:spacing w:before="285"/>
              <w:ind w:left="555"/>
              <w:jc w:val="both"/>
            </w:pPr>
            <w:r>
              <w:rPr>
                <w:rFonts w:ascii="仿宋_GB2312" w:hAnsi="仿宋_GB2312" w:cs="仿宋_GB2312" w:eastAsia="仿宋_GB2312"/>
                <w:sz w:val="25"/>
                <w:color w:val="000000"/>
              </w:rPr>
              <w:t>内容清单如下：</w:t>
            </w:r>
          </w:p>
          <w:p>
            <w:pPr>
              <w:pStyle w:val="null3"/>
              <w:jc w:val="both"/>
            </w:pPr>
            <w:r>
              <w:rPr>
                <w:rFonts w:ascii="仿宋_GB2312" w:hAnsi="仿宋_GB2312" w:cs="仿宋_GB2312" w:eastAsia="仿宋_GB2312"/>
                <w:sz w:val="28"/>
              </w:rPr>
              <w:t xml:space="preserve">              周至县人民医院计量设备检定清单</w:t>
            </w:r>
          </w:p>
          <w:tbl>
            <w:tblPr>
              <w:tblInd w:type="dxa" w:w="120"/>
              <w:tblBorders>
                <w:top w:val="none" w:color="000000" w:sz="4"/>
                <w:left w:val="none" w:color="000000" w:sz="4"/>
                <w:bottom w:val="none" w:color="000000" w:sz="4"/>
                <w:right w:val="none" w:color="000000" w:sz="4"/>
                <w:insideH w:val="none"/>
                <w:insideV w:val="none"/>
              </w:tblBorders>
            </w:tblPr>
            <w:tblGrid>
              <w:gridCol w:w="356"/>
              <w:gridCol w:w="1043"/>
              <w:gridCol w:w="356"/>
              <w:gridCol w:w="275"/>
              <w:gridCol w:w="503"/>
            </w:tblGrid>
            <w:tr>
              <w:tc>
                <w:tcPr>
                  <w:tcW w:type="dxa" w:w="35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b/>
                    </w:rPr>
                    <w:t>检测</w:t>
                  </w:r>
                </w:p>
                <w:p>
                  <w:pPr>
                    <w:pStyle w:val="null3"/>
                    <w:jc w:val="center"/>
                  </w:pPr>
                  <w:r>
                    <w:rPr>
                      <w:rFonts w:ascii="仿宋_GB2312" w:hAnsi="仿宋_GB2312" w:cs="仿宋_GB2312" w:eastAsia="仿宋_GB2312"/>
                      <w:sz w:val="22"/>
                      <w:b/>
                    </w:rPr>
                    <w:t>类别</w:t>
                  </w:r>
                </w:p>
              </w:tc>
              <w:tc>
                <w:tcPr>
                  <w:tcW w:type="dxa" w:w="104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b/>
                    </w:rPr>
                    <w:t>通用名称</w:t>
                  </w:r>
                </w:p>
              </w:tc>
              <w:tc>
                <w:tcPr>
                  <w:tcW w:type="dxa" w:w="35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b/>
                    </w:rPr>
                    <w:t>单位</w:t>
                  </w:r>
                </w:p>
              </w:tc>
              <w:tc>
                <w:tcPr>
                  <w:tcW w:type="dxa" w:w="2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b/>
                    </w:rPr>
                    <w:t>数量</w:t>
                  </w:r>
                </w:p>
              </w:tc>
              <w:tc>
                <w:tcPr>
                  <w:tcW w:type="dxa" w:w="50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b/>
                    </w:rPr>
                    <w:t>备注</w:t>
                  </w:r>
                </w:p>
              </w:tc>
            </w:tr>
            <w:tr>
              <w:tc>
                <w:tcPr>
                  <w:tcW w:type="dxa" w:w="35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强</w:t>
                  </w:r>
                </w:p>
                <w:p>
                  <w:pPr>
                    <w:pStyle w:val="null3"/>
                    <w:jc w:val="center"/>
                  </w:pPr>
                  <w:r>
                    <w:rPr>
                      <w:rFonts w:ascii="仿宋_GB2312" w:hAnsi="仿宋_GB2312" w:cs="仿宋_GB2312" w:eastAsia="仿宋_GB2312"/>
                      <w:sz w:val="22"/>
                    </w:rPr>
                    <w:t>检</w:t>
                  </w:r>
                </w:p>
                <w:p>
                  <w:pPr>
                    <w:pStyle w:val="null3"/>
                    <w:jc w:val="center"/>
                  </w:pPr>
                  <w:r>
                    <w:rPr>
                      <w:rFonts w:ascii="仿宋_GB2312" w:hAnsi="仿宋_GB2312" w:cs="仿宋_GB2312" w:eastAsia="仿宋_GB2312"/>
                      <w:sz w:val="22"/>
                    </w:rPr>
                    <w:t>设</w:t>
                  </w:r>
                </w:p>
                <w:p>
                  <w:pPr>
                    <w:pStyle w:val="null3"/>
                    <w:jc w:val="center"/>
                  </w:pPr>
                  <w:r>
                    <w:rPr>
                      <w:rFonts w:ascii="仿宋_GB2312" w:hAnsi="仿宋_GB2312" w:cs="仿宋_GB2312" w:eastAsia="仿宋_GB2312"/>
                      <w:sz w:val="22"/>
                    </w:rPr>
                    <w:t>备</w:t>
                  </w:r>
                </w:p>
                <w:p>
                  <w:pPr>
                    <w:pStyle w:val="null3"/>
                    <w:jc w:val="center"/>
                  </w:p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CT</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4</w:t>
                  </w:r>
                </w:p>
              </w:tc>
              <w:tc>
                <w:tcPr>
                  <w:tcW w:type="dxa" w:w="50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强</w:t>
                  </w:r>
                  <w:r>
                    <w:rPr>
                      <w:rFonts w:ascii="仿宋_GB2312" w:hAnsi="仿宋_GB2312" w:cs="仿宋_GB2312" w:eastAsia="仿宋_GB2312"/>
                      <w:sz w:val="22"/>
                    </w:rPr>
                    <w:t>检</w:t>
                  </w:r>
                </w:p>
                <w:p>
                  <w:pPr>
                    <w:pStyle w:val="null3"/>
                    <w:jc w:val="center"/>
                  </w:pPr>
                  <w:r>
                    <w:rPr>
                      <w:rFonts w:ascii="仿宋_GB2312" w:hAnsi="仿宋_GB2312" w:cs="仿宋_GB2312" w:eastAsia="仿宋_GB2312"/>
                      <w:sz w:val="22"/>
                    </w:rPr>
                    <w:t>设备</w:t>
                  </w:r>
                </w:p>
                <w:p>
                  <w:pPr>
                    <w:pStyle w:val="null3"/>
                    <w:jc w:val="center"/>
                  </w:pPr>
                  <w:r>
                    <w:rPr>
                      <w:rFonts w:ascii="仿宋_GB2312" w:hAnsi="仿宋_GB2312" w:cs="仿宋_GB2312" w:eastAsia="仿宋_GB2312"/>
                      <w:sz w:val="22"/>
                    </w:rPr>
                    <w:t>免费</w:t>
                  </w:r>
                </w:p>
                <w:p>
                  <w:pPr>
                    <w:pStyle w:val="null3"/>
                    <w:jc w:val="center"/>
                  </w:pPr>
                  <w:r>
                    <w:rPr>
                      <w:rFonts w:ascii="仿宋_GB2312" w:hAnsi="仿宋_GB2312" w:cs="仿宋_GB2312" w:eastAsia="仿宋_GB2312"/>
                      <w:sz w:val="22"/>
                    </w:rPr>
                    <w:t>检定</w:t>
                  </w: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DR</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4</w:t>
                  </w:r>
                </w:p>
              </w:tc>
              <w:tc>
                <w:tcPr>
                  <w:tcW w:type="dxa" w:w="503"/>
                  <w:vMerge/>
                  <w:tcBorders>
                    <w:top w:val="none" w:color="000000" w:sz="4"/>
                    <w:left w:val="single" w:color="000000" w:sz="4"/>
                    <w:bottom w:val="single" w:color="000000" w:sz="4"/>
                    <w:right w:val="single" w:color="000000" w:sz="4"/>
                  </w:tcBorders>
                </w:tc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多参数监护仪</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355</w:t>
                  </w:r>
                </w:p>
              </w:tc>
              <w:tc>
                <w:tcPr>
                  <w:tcW w:type="dxa" w:w="503"/>
                  <w:vMerge/>
                  <w:tcBorders>
                    <w:top w:val="none" w:color="000000" w:sz="4"/>
                    <w:left w:val="single" w:color="000000" w:sz="4"/>
                    <w:bottom w:val="single" w:color="000000" w:sz="4"/>
                    <w:right w:val="single" w:color="000000" w:sz="4"/>
                  </w:tcBorders>
                </w:tc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心电图机</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30</w:t>
                  </w:r>
                </w:p>
              </w:tc>
              <w:tc>
                <w:tcPr>
                  <w:tcW w:type="dxa" w:w="503"/>
                  <w:vMerge/>
                  <w:tcBorders>
                    <w:top w:val="none" w:color="000000" w:sz="4"/>
                    <w:left w:val="single" w:color="000000" w:sz="4"/>
                    <w:bottom w:val="single" w:color="000000" w:sz="4"/>
                    <w:right w:val="single" w:color="000000" w:sz="4"/>
                  </w:tcBorders>
                </w:tc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接触式眼压计</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503"/>
                  <w:vMerge/>
                  <w:tcBorders>
                    <w:top w:val="none" w:color="000000" w:sz="4"/>
                    <w:left w:val="single" w:color="000000" w:sz="4"/>
                    <w:bottom w:val="single" w:color="000000" w:sz="4"/>
                    <w:right w:val="single" w:color="000000" w:sz="4"/>
                  </w:tcBorders>
                </w:tc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全自动验光仪</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503"/>
                  <w:vMerge/>
                  <w:tcBorders>
                    <w:top w:val="none" w:color="000000" w:sz="4"/>
                    <w:left w:val="single" w:color="000000" w:sz="4"/>
                    <w:bottom w:val="single" w:color="000000" w:sz="4"/>
                    <w:right w:val="single" w:color="000000" w:sz="4"/>
                  </w:tcBorders>
                </w:tc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电子血压计</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8</w:t>
                  </w:r>
                </w:p>
              </w:tc>
              <w:tc>
                <w:tcPr>
                  <w:tcW w:type="dxa" w:w="503"/>
                  <w:vMerge/>
                  <w:tcBorders>
                    <w:top w:val="none" w:color="000000" w:sz="4"/>
                    <w:left w:val="single" w:color="000000" w:sz="4"/>
                    <w:bottom w:val="single" w:color="000000" w:sz="4"/>
                    <w:right w:val="single" w:color="000000" w:sz="4"/>
                  </w:tcBorders>
                </w:tc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血压计</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187</w:t>
                  </w:r>
                </w:p>
              </w:tc>
              <w:tc>
                <w:tcPr>
                  <w:tcW w:type="dxa" w:w="503"/>
                  <w:vMerge/>
                  <w:tcBorders>
                    <w:top w:val="none" w:color="000000" w:sz="4"/>
                    <w:left w:val="single" w:color="000000" w:sz="4"/>
                    <w:bottom w:val="single" w:color="000000" w:sz="4"/>
                    <w:right w:val="single" w:color="000000" w:sz="4"/>
                  </w:tcBorders>
                </w:tc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口腔</w:t>
                  </w:r>
                  <w:r>
                    <w:rPr>
                      <w:rFonts w:ascii="仿宋_GB2312" w:hAnsi="仿宋_GB2312" w:cs="仿宋_GB2312" w:eastAsia="仿宋_GB2312"/>
                      <w:sz w:val="22"/>
                    </w:rPr>
                    <w:t>X射线机</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503"/>
                  <w:vMerge/>
                  <w:tcBorders>
                    <w:top w:val="none" w:color="000000" w:sz="4"/>
                    <w:left w:val="single" w:color="000000" w:sz="4"/>
                    <w:bottom w:val="single" w:color="000000" w:sz="4"/>
                    <w:right w:val="single" w:color="000000" w:sz="4"/>
                  </w:tcBorders>
                </w:tc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乳腺</w:t>
                  </w:r>
                  <w:r>
                    <w:rPr>
                      <w:rFonts w:ascii="仿宋_GB2312" w:hAnsi="仿宋_GB2312" w:cs="仿宋_GB2312" w:eastAsia="仿宋_GB2312"/>
                      <w:sz w:val="22"/>
                    </w:rPr>
                    <w:t>X摄影</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503"/>
                  <w:vMerge/>
                  <w:tcBorders>
                    <w:top w:val="none" w:color="000000" w:sz="4"/>
                    <w:left w:val="single" w:color="000000" w:sz="4"/>
                    <w:bottom w:val="single" w:color="000000" w:sz="4"/>
                    <w:right w:val="single" w:color="000000" w:sz="4"/>
                  </w:tcBorders>
                </w:tc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动态平板数字化胃肠机</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503"/>
                  <w:vMerge/>
                  <w:tcBorders>
                    <w:top w:val="none" w:color="000000" w:sz="4"/>
                    <w:left w:val="single" w:color="000000" w:sz="4"/>
                    <w:bottom w:val="single" w:color="000000" w:sz="4"/>
                    <w:right w:val="single" w:color="000000" w:sz="4"/>
                  </w:tcBorders>
                </w:tc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移动数字</w:t>
                  </w:r>
                  <w:r>
                    <w:rPr>
                      <w:rFonts w:ascii="仿宋_GB2312" w:hAnsi="仿宋_GB2312" w:cs="仿宋_GB2312" w:eastAsia="仿宋_GB2312"/>
                      <w:sz w:val="22"/>
                    </w:rPr>
                    <w:t>X射线系统</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3</w:t>
                  </w:r>
                </w:p>
              </w:tc>
              <w:tc>
                <w:tcPr>
                  <w:tcW w:type="dxa" w:w="503"/>
                  <w:vMerge/>
                  <w:tcBorders>
                    <w:top w:val="none" w:color="000000" w:sz="4"/>
                    <w:left w:val="single" w:color="000000" w:sz="4"/>
                    <w:bottom w:val="single" w:color="000000" w:sz="4"/>
                    <w:right w:val="single" w:color="000000" w:sz="4"/>
                  </w:tcBorders>
                </w:tc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移动式</w:t>
                  </w:r>
                  <w:r>
                    <w:rPr>
                      <w:rFonts w:ascii="仿宋_GB2312" w:hAnsi="仿宋_GB2312" w:cs="仿宋_GB2312" w:eastAsia="仿宋_GB2312"/>
                      <w:sz w:val="22"/>
                    </w:rPr>
                    <w:t>C型臂X光机</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w:t>
                  </w:r>
                </w:p>
              </w:tc>
              <w:tc>
                <w:tcPr>
                  <w:tcW w:type="dxa" w:w="503"/>
                  <w:vMerge/>
                  <w:tcBorders>
                    <w:top w:val="none" w:color="000000" w:sz="4"/>
                    <w:left w:val="single" w:color="000000" w:sz="4"/>
                    <w:bottom w:val="single" w:color="000000" w:sz="4"/>
                    <w:right w:val="single" w:color="000000" w:sz="4"/>
                  </w:tcBorders>
                </w:tc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动态心电图仪</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15</w:t>
                  </w:r>
                </w:p>
              </w:tc>
              <w:tc>
                <w:tcPr>
                  <w:tcW w:type="dxa" w:w="503"/>
                  <w:vMerge/>
                  <w:tcBorders>
                    <w:top w:val="none" w:color="000000" w:sz="4"/>
                    <w:left w:val="single" w:color="000000" w:sz="4"/>
                    <w:bottom w:val="single" w:color="000000" w:sz="4"/>
                    <w:right w:val="single" w:color="000000" w:sz="4"/>
                  </w:tcBorders>
                </w:tc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动态血压监测仪</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20</w:t>
                  </w:r>
                </w:p>
              </w:tc>
              <w:tc>
                <w:tcPr>
                  <w:tcW w:type="dxa" w:w="503"/>
                  <w:vMerge/>
                  <w:tcBorders>
                    <w:top w:val="none" w:color="000000" w:sz="4"/>
                    <w:left w:val="single" w:color="000000" w:sz="4"/>
                    <w:bottom w:val="single" w:color="000000" w:sz="4"/>
                    <w:right w:val="single" w:color="000000" w:sz="4"/>
                  </w:tcBorders>
                </w:tcPr>
                <w:p/>
              </w:tc>
            </w:tr>
            <w:tr>
              <w:tc>
                <w:tcPr>
                  <w:tcW w:type="dxa" w:w="35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2"/>
                    </w:rPr>
                    <w:t>校</w:t>
                  </w:r>
                </w:p>
                <w:p>
                  <w:pPr>
                    <w:pStyle w:val="null3"/>
                    <w:jc w:val="center"/>
                  </w:pPr>
                  <w:r>
                    <w:rPr>
                      <w:rFonts w:ascii="仿宋_GB2312" w:hAnsi="仿宋_GB2312" w:cs="仿宋_GB2312" w:eastAsia="仿宋_GB2312"/>
                      <w:sz w:val="22"/>
                    </w:rPr>
                    <w:t>准</w:t>
                  </w:r>
                </w:p>
                <w:p>
                  <w:pPr>
                    <w:pStyle w:val="null3"/>
                    <w:jc w:val="center"/>
                  </w:pPr>
                  <w:r>
                    <w:rPr>
                      <w:rFonts w:ascii="仿宋_GB2312" w:hAnsi="仿宋_GB2312" w:cs="仿宋_GB2312" w:eastAsia="仿宋_GB2312"/>
                      <w:sz w:val="22"/>
                    </w:rPr>
                    <w:t>设</w:t>
                  </w:r>
                </w:p>
                <w:p>
                  <w:pPr>
                    <w:pStyle w:val="null3"/>
                    <w:jc w:val="center"/>
                  </w:pPr>
                  <w:r>
                    <w:rPr>
                      <w:rFonts w:ascii="仿宋_GB2312" w:hAnsi="仿宋_GB2312" w:cs="仿宋_GB2312" w:eastAsia="仿宋_GB2312"/>
                      <w:sz w:val="22"/>
                    </w:rPr>
                    <w:t>备</w:t>
                  </w: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除颤监护仪</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31</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呼吸机</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25</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彩色多普勒超声诊断仪</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16</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双道注射泵</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64</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MRI</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高压注射器</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3</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六道微量注射泵</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11</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输液泵</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145</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电解质分析仪</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3</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注射泵</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119</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听力计</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X/r辐射测量率仪</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3</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离心机</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8</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全自动核酸扩增仪</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4</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全自动核酸提取仪</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4</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生物安全柜</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6</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26"/>
                  </w:pPr>
                  <w:r>
                    <w:rPr>
                      <w:rFonts w:ascii="仿宋_GB2312" w:hAnsi="仿宋_GB2312" w:cs="仿宋_GB2312" w:eastAsia="仿宋_GB2312"/>
                      <w:sz w:val="22"/>
                    </w:rPr>
                    <w:t>7个参数</w:t>
                  </w: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尿液分析仪</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5</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生化分析仪</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3</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血细胞分析仪</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3</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胎儿监护仪</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11</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高频电刀</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9</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全自动心肺复苏仪</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婴儿培养箱</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30</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麻醉机</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10</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8道精密移液器</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4</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免疫分析仪模块</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全自动化学发光</w:t>
                  </w:r>
                  <w:r>
                    <w:rPr>
                      <w:rFonts w:ascii="仿宋_GB2312" w:hAnsi="仿宋_GB2312" w:cs="仿宋_GB2312" w:eastAsia="仿宋_GB2312"/>
                    </w:rPr>
                    <w:t xml:space="preserve"> </w:t>
                  </w:r>
                  <w:r>
                    <w:rPr>
                      <w:rFonts w:ascii="仿宋_GB2312" w:hAnsi="仿宋_GB2312" w:cs="仿宋_GB2312" w:eastAsia="仿宋_GB2312"/>
                      <w:sz w:val="22"/>
                    </w:rPr>
                    <w:t>免疫分析仪</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4</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酶标仪</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全自动血液分析仪</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血液透析设备</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29</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全自动血凝仪</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微量元素分析仪</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免疫定量分析仪</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电脑体重称</w:t>
                  </w:r>
                  <w:r>
                    <w:rPr>
                      <w:rFonts w:ascii="仿宋_GB2312" w:hAnsi="仿宋_GB2312" w:cs="仿宋_GB2312" w:eastAsia="仿宋_GB2312"/>
                      <w:sz w:val="22"/>
                    </w:rPr>
                    <w:t>(体检机)</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电子人体秤</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体重秤</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28</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移液器</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3</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356"/>
                  <w:vMerge/>
                  <w:tcBorders>
                    <w:top w:val="none" w:color="000000" w:sz="4"/>
                    <w:left w:val="single" w:color="000000" w:sz="4"/>
                    <w:bottom w:val="single" w:color="000000" w:sz="4"/>
                    <w:right w:val="single" w:color="000000" w:sz="4"/>
                  </w:tcBorders>
                </w:tc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氧气流量表</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50</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30"/>
                  </w:pPr>
                  <w:r>
                    <w:rPr>
                      <w:rFonts w:ascii="仿宋_GB2312" w:hAnsi="仿宋_GB2312" w:cs="仿宋_GB2312" w:eastAsia="仿宋_GB2312"/>
                      <w:sz w:val="22"/>
                    </w:rPr>
                    <w:t>氧气筒</w:t>
                  </w:r>
                </w:p>
              </w:tc>
            </w:tr>
            <w:tr>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0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合计</w:t>
                  </w:r>
                </w:p>
              </w:tc>
              <w:tc>
                <w:tcPr>
                  <w:tcW w:type="dxa" w:w="3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1278</w:t>
                  </w:r>
                </w:p>
              </w:tc>
              <w:tc>
                <w:tcPr>
                  <w:tcW w:type="dxa" w:w="5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bl>
          <w:p>
            <w:pPr>
              <w:pStyle w:val="null3"/>
            </w:pPr>
            <w:r>
              <w:rPr>
                <w:rFonts w:ascii="仿宋_GB2312" w:hAnsi="仿宋_GB2312" w:cs="仿宋_GB2312" w:eastAsia="仿宋_GB2312"/>
                <w:sz w:val="28"/>
                <w:b/>
                <w:color w:val="000000"/>
              </w:rPr>
              <w:t>三、</w:t>
            </w:r>
            <w:r>
              <w:rPr>
                <w:rFonts w:ascii="仿宋_GB2312" w:hAnsi="仿宋_GB2312" w:cs="仿宋_GB2312" w:eastAsia="仿宋_GB2312"/>
                <w:sz w:val="28"/>
                <w:b/>
                <w:color w:val="000000"/>
              </w:rPr>
              <w:t>商务要求</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一</w:t>
            </w:r>
            <w:r>
              <w:rPr>
                <w:rFonts w:ascii="仿宋_GB2312" w:hAnsi="仿宋_GB2312" w:cs="仿宋_GB2312" w:eastAsia="仿宋_GB2312"/>
                <w:sz w:val="28"/>
                <w:color w:val="000000"/>
              </w:rPr>
              <w:t>）</w:t>
            </w:r>
            <w:r>
              <w:rPr>
                <w:rFonts w:ascii="仿宋_GB2312" w:hAnsi="仿宋_GB2312" w:cs="仿宋_GB2312" w:eastAsia="仿宋_GB2312"/>
                <w:sz w:val="28"/>
                <w:color w:val="000000"/>
              </w:rPr>
              <w:t>服务地点：采购人指定地点。</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二</w:t>
            </w:r>
            <w:r>
              <w:rPr>
                <w:rFonts w:ascii="仿宋_GB2312" w:hAnsi="仿宋_GB2312" w:cs="仿宋_GB2312" w:eastAsia="仿宋_GB2312"/>
                <w:sz w:val="28"/>
                <w:color w:val="000000"/>
              </w:rPr>
              <w:t>）</w:t>
            </w:r>
            <w:r>
              <w:rPr>
                <w:rFonts w:ascii="仿宋_GB2312" w:hAnsi="仿宋_GB2312" w:cs="仿宋_GB2312" w:eastAsia="仿宋_GB2312"/>
                <w:sz w:val="28"/>
                <w:color w:val="000000"/>
              </w:rPr>
              <w:t>服</w:t>
            </w:r>
            <w:r>
              <w:rPr>
                <w:rFonts w:ascii="仿宋_GB2312" w:hAnsi="仿宋_GB2312" w:cs="仿宋_GB2312" w:eastAsia="仿宋_GB2312"/>
                <w:sz w:val="28"/>
                <w:color w:val="000000"/>
              </w:rPr>
              <w:t>务</w:t>
            </w:r>
            <w:r>
              <w:rPr>
                <w:rFonts w:ascii="仿宋_GB2312" w:hAnsi="仿宋_GB2312" w:cs="仿宋_GB2312" w:eastAsia="仿宋_GB2312"/>
                <w:sz w:val="28"/>
                <w:color w:val="000000"/>
              </w:rPr>
              <w:t>期：</w:t>
            </w:r>
            <w:r>
              <w:rPr>
                <w:rFonts w:ascii="仿宋_GB2312" w:hAnsi="仿宋_GB2312" w:cs="仿宋_GB2312" w:eastAsia="仿宋_GB2312"/>
                <w:sz w:val="28"/>
                <w:color w:val="000000"/>
              </w:rPr>
              <w:t>自合同签订之日起</w:t>
            </w:r>
            <w:r>
              <w:rPr>
                <w:rFonts w:ascii="仿宋_GB2312" w:hAnsi="仿宋_GB2312" w:cs="仿宋_GB2312" w:eastAsia="仿宋_GB2312"/>
                <w:sz w:val="28"/>
                <w:color w:val="000000"/>
              </w:rPr>
              <w:t>1年。</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三</w:t>
            </w:r>
            <w:r>
              <w:rPr>
                <w:rFonts w:ascii="仿宋_GB2312" w:hAnsi="仿宋_GB2312" w:cs="仿宋_GB2312" w:eastAsia="仿宋_GB2312"/>
                <w:sz w:val="28"/>
                <w:color w:val="000000"/>
              </w:rPr>
              <w:t>）</w:t>
            </w:r>
            <w:r>
              <w:rPr>
                <w:rFonts w:ascii="仿宋_GB2312" w:hAnsi="仿宋_GB2312" w:cs="仿宋_GB2312" w:eastAsia="仿宋_GB2312"/>
                <w:sz w:val="28"/>
                <w:color w:val="000000"/>
              </w:rPr>
              <w:t>价</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格：</w:t>
            </w:r>
          </w:p>
          <w:p>
            <w:pPr>
              <w:pStyle w:val="null3"/>
              <w:ind w:firstLine="560"/>
              <w:jc w:val="both"/>
            </w:pPr>
            <w:r>
              <w:rPr>
                <w:rFonts w:ascii="仿宋_GB2312" w:hAnsi="仿宋_GB2312" w:cs="仿宋_GB2312" w:eastAsia="仿宋_GB2312"/>
                <w:sz w:val="28"/>
                <w:color w:val="000000"/>
              </w:rPr>
              <w:t>1、合同总价包括：供应价、材料费、运杂费、人工费、售后服务费、保险费、相关伴随费用等的一切费用。</w:t>
            </w:r>
          </w:p>
          <w:p>
            <w:pPr>
              <w:pStyle w:val="null3"/>
              <w:ind w:firstLine="560"/>
              <w:jc w:val="both"/>
            </w:pPr>
            <w:r>
              <w:rPr>
                <w:rFonts w:ascii="仿宋_GB2312" w:hAnsi="仿宋_GB2312" w:cs="仿宋_GB2312" w:eastAsia="仿宋_GB2312"/>
                <w:sz w:val="28"/>
                <w:color w:val="000000"/>
              </w:rPr>
              <w:t>2、合同有效期内，合同单价一次包死，不受国家政策性调价或原材料价格变化及外汇汇率变化的影响，并作为最终结算的唯一依据，具体结算量，以实际检定清单为准。</w:t>
            </w:r>
          </w:p>
          <w:p>
            <w:pPr>
              <w:pStyle w:val="null3"/>
              <w:ind w:firstLine="560"/>
              <w:jc w:val="both"/>
            </w:pPr>
            <w:r>
              <w:rPr>
                <w:rFonts w:ascii="仿宋_GB2312" w:hAnsi="仿宋_GB2312" w:cs="仿宋_GB2312" w:eastAsia="仿宋_GB2312"/>
                <w:sz w:val="28"/>
                <w:color w:val="000000"/>
              </w:rPr>
              <w:t>3、付款方式：</w:t>
            </w:r>
          </w:p>
          <w:p>
            <w:pPr>
              <w:pStyle w:val="null3"/>
              <w:ind w:firstLine="560"/>
              <w:jc w:val="both"/>
            </w:pPr>
            <w:r>
              <w:rPr>
                <w:rFonts w:ascii="仿宋_GB2312" w:hAnsi="仿宋_GB2312" w:cs="仿宋_GB2312" w:eastAsia="仿宋_GB2312"/>
                <w:sz w:val="28"/>
                <w:color w:val="000000"/>
              </w:rPr>
              <w:t>供应商完成合同约定的设备检定、校准及测试工作并出具检定校准报告，采购人收到供应商出具的检定报告与合同款项全额发票，并经双方确认后，一个月内采购人支付</w:t>
            </w:r>
            <w:r>
              <w:rPr>
                <w:rFonts w:ascii="仿宋_GB2312" w:hAnsi="仿宋_GB2312" w:cs="仿宋_GB2312" w:eastAsia="仿宋_GB2312"/>
                <w:sz w:val="28"/>
                <w:color w:val="000000"/>
              </w:rPr>
              <w:t>合同款项</w:t>
            </w:r>
            <w:r>
              <w:rPr>
                <w:rFonts w:ascii="仿宋_GB2312" w:hAnsi="仿宋_GB2312" w:cs="仿宋_GB2312" w:eastAsia="仿宋_GB2312"/>
                <w:sz w:val="28"/>
                <w:color w:val="000000"/>
              </w:rPr>
              <w:t>60%，满六个月后，如无因计量设备引起的纠纷，</w:t>
            </w:r>
            <w:r>
              <w:rPr>
                <w:rFonts w:ascii="仿宋_GB2312" w:hAnsi="仿宋_GB2312" w:cs="仿宋_GB2312" w:eastAsia="仿宋_GB2312"/>
                <w:sz w:val="28"/>
                <w:color w:val="000000"/>
              </w:rPr>
              <w:t>采购人支付合同款项</w:t>
            </w:r>
            <w:r>
              <w:rPr>
                <w:rFonts w:ascii="仿宋_GB2312" w:hAnsi="仿宋_GB2312" w:cs="仿宋_GB2312" w:eastAsia="仿宋_GB2312"/>
                <w:sz w:val="28"/>
                <w:color w:val="000000"/>
              </w:rPr>
              <w:t>30%，满一年后，如无因计量设备引起的纠纷，采购人支付合同款项10%。</w:t>
            </w:r>
          </w:p>
          <w:p>
            <w:pPr>
              <w:pStyle w:val="null3"/>
              <w:ind w:firstLine="560"/>
              <w:jc w:val="both"/>
            </w:pPr>
            <w:r>
              <w:rPr>
                <w:rFonts w:ascii="仿宋_GB2312" w:hAnsi="仿宋_GB2312" w:cs="仿宋_GB2312" w:eastAsia="仿宋_GB2312"/>
                <w:sz w:val="28"/>
                <w:color w:val="000000"/>
              </w:rPr>
              <w:t>结算单位：西安市周至县人民医院，有关部门验收合格后，成交人凭验收单、合同、成交通知书及发票原件到相关部门办理结算手续。</w:t>
            </w:r>
          </w:p>
          <w:p>
            <w:pPr>
              <w:pStyle w:val="null3"/>
              <w:jc w:val="both"/>
            </w:pPr>
            <w:r>
              <w:rPr>
                <w:rFonts w:ascii="仿宋_GB2312" w:hAnsi="仿宋_GB2312" w:cs="仿宋_GB2312" w:eastAsia="仿宋_GB2312"/>
                <w:sz w:val="28"/>
                <w:b/>
                <w:color w:val="000000"/>
              </w:rPr>
              <w:t>四、质量保证</w:t>
            </w:r>
          </w:p>
          <w:p>
            <w:pPr>
              <w:pStyle w:val="null3"/>
              <w:ind w:firstLine="560"/>
              <w:jc w:val="both"/>
            </w:pPr>
            <w:r>
              <w:rPr>
                <w:rFonts w:ascii="仿宋_GB2312" w:hAnsi="仿宋_GB2312" w:cs="仿宋_GB2312" w:eastAsia="仿宋_GB2312"/>
                <w:sz w:val="28"/>
                <w:color w:val="000000"/>
              </w:rPr>
              <w:t>1、在服务范围内按工作内容和要求制定详细的方案，方案科学、合理、可靠。</w:t>
            </w:r>
          </w:p>
          <w:p>
            <w:pPr>
              <w:pStyle w:val="null3"/>
              <w:ind w:firstLine="560"/>
              <w:jc w:val="both"/>
            </w:pPr>
            <w:r>
              <w:rPr>
                <w:rFonts w:ascii="仿宋_GB2312" w:hAnsi="仿宋_GB2312" w:cs="仿宋_GB2312" w:eastAsia="仿宋_GB2312"/>
                <w:sz w:val="28"/>
                <w:color w:val="000000"/>
              </w:rPr>
              <w:t>2、人员配备合理。有针对本项目的专项服务小组，项目负责人、工作人员分工明确(应有具体成员名单，包括姓名、工作职责、联系方式等)</w:t>
            </w:r>
          </w:p>
          <w:p>
            <w:pPr>
              <w:pStyle w:val="null3"/>
              <w:ind w:firstLine="560"/>
              <w:jc w:val="both"/>
            </w:pPr>
            <w:r>
              <w:rPr>
                <w:rFonts w:ascii="仿宋_GB2312" w:hAnsi="仿宋_GB2312" w:cs="仿宋_GB2312" w:eastAsia="仿宋_GB2312"/>
                <w:sz w:val="28"/>
                <w:color w:val="000000"/>
              </w:rPr>
              <w:t>3、有各类突发事件的应急预案和措施，有明确具体的承诺。</w:t>
            </w:r>
          </w:p>
          <w:p>
            <w:pPr>
              <w:pStyle w:val="null3"/>
              <w:ind w:firstLine="560"/>
              <w:jc w:val="both"/>
            </w:pPr>
            <w:r>
              <w:rPr>
                <w:rFonts w:ascii="仿宋_GB2312" w:hAnsi="仿宋_GB2312" w:cs="仿宋_GB2312" w:eastAsia="仿宋_GB2312"/>
                <w:sz w:val="28"/>
                <w:color w:val="000000"/>
              </w:rPr>
              <w:t>4、供应商所拟派的工作人员，若在服务期间发生任何伤害，采购人概不负责，由供应商自行处理。</w:t>
            </w:r>
          </w:p>
          <w:p>
            <w:pPr>
              <w:pStyle w:val="null3"/>
              <w:jc w:val="both"/>
            </w:pPr>
            <w:r>
              <w:rPr>
                <w:rFonts w:ascii="仿宋_GB2312" w:hAnsi="仿宋_GB2312" w:cs="仿宋_GB2312" w:eastAsia="仿宋_GB2312"/>
                <w:sz w:val="28"/>
                <w:b/>
                <w:color w:val="000000"/>
              </w:rPr>
              <w:t>五、验收标准：</w:t>
            </w:r>
          </w:p>
          <w:p>
            <w:pPr>
              <w:pStyle w:val="null3"/>
              <w:ind w:firstLine="560"/>
              <w:jc w:val="both"/>
            </w:pPr>
            <w:r>
              <w:rPr>
                <w:rFonts w:ascii="仿宋_GB2312" w:hAnsi="仿宋_GB2312" w:cs="仿宋_GB2312" w:eastAsia="仿宋_GB2312"/>
                <w:sz w:val="28"/>
                <w:color w:val="000000"/>
              </w:rPr>
              <w:t>1、符合招标单位与中标单位签订的经济合同；</w:t>
            </w:r>
          </w:p>
          <w:p>
            <w:pPr>
              <w:pStyle w:val="null3"/>
              <w:ind w:firstLine="560"/>
              <w:jc w:val="both"/>
            </w:pPr>
            <w:r>
              <w:rPr>
                <w:rFonts w:ascii="仿宋_GB2312" w:hAnsi="仿宋_GB2312" w:cs="仿宋_GB2312" w:eastAsia="仿宋_GB2312"/>
                <w:sz w:val="28"/>
                <w:color w:val="000000"/>
              </w:rPr>
              <w:t>2、符合招投标文件的技术要求、商务要求；</w:t>
            </w:r>
          </w:p>
          <w:p>
            <w:pPr>
              <w:pStyle w:val="null3"/>
              <w:ind w:firstLine="560"/>
              <w:jc w:val="both"/>
            </w:pPr>
            <w:r>
              <w:rPr>
                <w:rFonts w:ascii="仿宋_GB2312" w:hAnsi="仿宋_GB2312" w:cs="仿宋_GB2312" w:eastAsia="仿宋_GB2312"/>
                <w:sz w:val="28"/>
                <w:color w:val="000000"/>
              </w:rPr>
              <w:t>3、符合国家有关技术规范和标准；</w:t>
            </w:r>
          </w:p>
          <w:p>
            <w:pPr>
              <w:pStyle w:val="null3"/>
              <w:ind w:firstLine="560"/>
              <w:jc w:val="both"/>
            </w:pPr>
            <w:r>
              <w:rPr>
                <w:rFonts w:ascii="仿宋_GB2312" w:hAnsi="仿宋_GB2312" w:cs="仿宋_GB2312" w:eastAsia="仿宋_GB2312"/>
                <w:sz w:val="28"/>
                <w:color w:val="000000"/>
              </w:rPr>
              <w:t>4、提供有效的计量检定合格证；</w:t>
            </w:r>
          </w:p>
          <w:p>
            <w:pPr>
              <w:pStyle w:val="null3"/>
              <w:jc w:val="both"/>
            </w:pPr>
            <w:r>
              <w:rPr>
                <w:rFonts w:ascii="仿宋_GB2312" w:hAnsi="仿宋_GB2312" w:cs="仿宋_GB2312" w:eastAsia="仿宋_GB2312"/>
                <w:sz w:val="28"/>
                <w:b/>
                <w:color w:val="000000"/>
              </w:rPr>
              <w:t>六、合同实施</w:t>
            </w:r>
          </w:p>
          <w:p>
            <w:pPr>
              <w:pStyle w:val="null3"/>
              <w:ind w:firstLine="560"/>
              <w:jc w:val="both"/>
            </w:pPr>
            <w:r>
              <w:rPr>
                <w:rFonts w:ascii="仿宋_GB2312" w:hAnsi="仿宋_GB2312" w:cs="仿宋_GB2312" w:eastAsia="仿宋_GB2312"/>
                <w:sz w:val="28"/>
                <w:color w:val="000000"/>
              </w:rPr>
              <w:t>1、成交单位应在合同签订后安排人员与使用单位就服务时间等工作进行安排、部署。</w:t>
            </w:r>
          </w:p>
          <w:p>
            <w:pPr>
              <w:pStyle w:val="null3"/>
              <w:ind w:firstLine="560"/>
              <w:jc w:val="both"/>
            </w:pPr>
            <w:r>
              <w:rPr>
                <w:rFonts w:ascii="仿宋_GB2312" w:hAnsi="仿宋_GB2312" w:cs="仿宋_GB2312" w:eastAsia="仿宋_GB2312"/>
                <w:sz w:val="28"/>
                <w:color w:val="000000"/>
              </w:rPr>
              <w:t>2、若因成交单位原因未能在服务期内完成合同规定的义务，由此对采购人造成的延误和一切损失，由成交单位承担和赔偿。</w:t>
            </w:r>
          </w:p>
          <w:p>
            <w:pPr>
              <w:pStyle w:val="null3"/>
              <w:jc w:val="both"/>
            </w:pPr>
            <w:r>
              <w:rPr>
                <w:rFonts w:ascii="仿宋_GB2312" w:hAnsi="仿宋_GB2312" w:cs="仿宋_GB2312" w:eastAsia="仿宋_GB2312"/>
                <w:sz w:val="28"/>
                <w:b/>
                <w:color w:val="000000"/>
              </w:rPr>
              <w:t>七、违约责任</w:t>
            </w:r>
          </w:p>
          <w:p>
            <w:pPr>
              <w:pStyle w:val="null3"/>
              <w:ind w:firstLine="560"/>
              <w:jc w:val="both"/>
            </w:pPr>
            <w:r>
              <w:rPr>
                <w:rFonts w:ascii="仿宋_GB2312" w:hAnsi="仿宋_GB2312" w:cs="仿宋_GB2312" w:eastAsia="仿宋_GB2312"/>
                <w:sz w:val="28"/>
                <w:color w:val="000000"/>
              </w:rPr>
              <w:t>1、按《中华人民共和国民法典》中的相关条款执行。</w:t>
            </w:r>
          </w:p>
          <w:p>
            <w:pPr>
              <w:pStyle w:val="null3"/>
              <w:ind w:firstLine="560"/>
              <w:jc w:val="both"/>
            </w:pPr>
            <w:r>
              <w:rPr>
                <w:rFonts w:ascii="仿宋_GB2312" w:hAnsi="仿宋_GB2312" w:cs="仿宋_GB2312" w:eastAsia="仿宋_GB2312"/>
                <w:sz w:val="28"/>
                <w:color w:val="000000"/>
              </w:rPr>
              <w:t>2、未按合同要求提供产品或服务质量不能满足技术要求，采购人有权终止合同，并对供方违约行为进行追究，同时按《政府采购法》的有关规定进行处罚。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根据项目情况提供相关设备，满足3.2.2服务要求。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1、符合招标单位与中标单位签订的经济合同； 2、符合招投标文件的技术要求、商务要求； 3、符合国家有关技术规范和标准； 4、提供有效的计量检定合格证。</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供应商完成合同约定的设备检定、校准及测试工作并出具检定校准报告，采购人收到供应商出具的检定报告与合同款项全额发票，并经双方确认后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满六个月后，如无因计量设备引起的纠纷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满一年后，如无因计量设备引起的纠纷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2、未按合同要求提供产品或服务质量不能满足技术要求，采购人有权终止合同，并对供方违约行为进行追究，同时按《政府采购法》的有关规定进行处罚。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参与的供应商（联合体）服务全部由符合政策要求的中小企业承接。供应商必须响应中小企业声明函。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具有独立承担民事责任能力的法人、其他组织或自然人，营业执照、组织机构代码证、税务登记证（三证合一只提供营业执照，事业单位提供事业单位法人证书，自然人应提供身份证）合法有效；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供应商应授权合法的人员参加磋商全过程，其中法定代表人/负责人直接参加的，须递交《法定代表人/负责人身份证明》和身份证；法定代表人/负责人授权代表参加的，须递交《法定代表人/负责人授权书》，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完整的财务报告（成立时间至提交响应文件截止时间不足一年的可提供成立后任意时段的资产负债表），审计报告应当经过注册会计师行业统一监管平台备案赋码）或在开标日期前六个月内其开户银行出具的资信证明或信用担保机构出具的投标担保函，以上三种形式的资料提供任何一种即可（分支机构如无法提供财务审计报告，须出具包含分支机构的财务数据的总公司财务审计报告）；</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提供供应商开标前近六个月已缴纳任意一个月缴纳凭证或税务机关开具的完税证明，依法免税的应提供相关文件证明；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提供供应商开标前近六个月已缴存的任意一个月的社会保障资金缴存证明或社保机构开具的社会保险参保缴费情况证明；依法不需要缴纳社会保障资金的应提供相关文件证明；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供应商应具有履行合同所必需的设备和专业技术能力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被“信用中国”（www.creditchina.gov.cn）列入重大税收违法失信主体；不得被“中国执行信息公开网”（zxgk.court.gov.cn）列入失信被执行人名单；不得被“中国政府采购网”（www.ccgp.gov.cn）列入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法定计量检定机构计量检测授权证书</w:t>
            </w:r>
          </w:p>
        </w:tc>
        <w:tc>
          <w:tcPr>
            <w:tcW w:type="dxa" w:w="3322"/>
          </w:tcPr>
          <w:p>
            <w:pPr>
              <w:pStyle w:val="null3"/>
            </w:pPr>
            <w:r>
              <w:rPr>
                <w:rFonts w:ascii="仿宋_GB2312" w:hAnsi="仿宋_GB2312" w:cs="仿宋_GB2312" w:eastAsia="仿宋_GB2312"/>
              </w:rPr>
              <w:t>供应商具备中华人民共和国市场监督管理总局颁发的法定计量检定机构计量检测授权证书（含陕西省依法设置或陕西省质量技术监督局依法授权的法定计量检定机构），具备开展检定和校准业务的有效的资质证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（1）响应文件的签字、盖章：投标文件上法定代表人或其委托代理人的签字齐全并加盖单位章；响应文件应逐页加盖单位公章，且公章清晰可见； （2）响应文件格式：应符合磋商文件要求； （3）报价唯一：只能有一个有效报价，不得提交选择性报价，且报价不超过最高限价。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分项报价表.docx 格式服务响应偏离表.docx 格式商务响应偏离表.docx 服务方案 标的清单 报价表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（1）对响应文件响应程度：要求全面响应，不能有任何采购人不能接受的附加条件；（2）服务时间：应满足磋商文件要求；（3 ) 服务地点：采购人指定点；（5）有效期：应满足磋商文件要求。</w:t>
            </w:r>
          </w:p>
        </w:tc>
        <w:tc>
          <w:tcPr>
            <w:tcW w:type="dxa" w:w="1661"/>
          </w:tcPr>
          <w:p>
            <w:pPr>
              <w:pStyle w:val="null3"/>
            </w:pPr>
            <w:r>
              <w:rPr>
                <w:rFonts w:ascii="仿宋_GB2312" w:hAnsi="仿宋_GB2312" w:cs="仿宋_GB2312" w:eastAsia="仿宋_GB2312"/>
              </w:rPr>
              <w:t>响应文件封面 分项报价表.docx 格式服务响应偏离表.docx 格式商务响应偏离表.docx 中小企业声明函 服务方案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一、评审内容： 供应商针对本项目制定的总体方案，包含①项目需求理解；②进度计划安排；③技术组织保障措施；④服务按时完成保障措施。 二、评审标准： 1.完整性：实施方案须全面，思路清晰、分析透彻，内容完整、方案科学、合理； 2.可实施性；切合本项目实际情况，步骤明确、可操作性强； 3.针对性：总体方案能够紧扣项目实际情况，专业性强、内容科学、合理。 三、赋分标准（12 分）： ①项目需求理解：每完全满足一个评审标准得 1 分，满分3 分; ②进度计划安排：每完全满足一个评审标准得 1 分，满分3 分; ③技术组织保障措施：每完全满足一个评审标准得 1 分，满分3 分; ④服务按时完成保障措施：每完全满足一个评审标准得 1 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供应商针对本项目制定的实施方案，包含①医用设备计量器具登记及信息管理方案；②强检医用设备计量检定/校准方案；③校准设备校准方案；④拟投入本项目检测设备（提供证明材料）。 二、评审标准： 1.完整性：实施方案须全面，思路清晰、分析透彻，内容完整、方案科学、合理； 2.可实施性；切合本项目实际情况，步骤明确、可操作性强； 3.针对性：总体方案能够紧扣项目实际情况，专业性强、内容科学、合理。 三、赋分标准（12 分）： ①医用设备计量器具登记及信息管理方案：每完全满足一个评审标准得 1 分，满分 3 分; ②强检医用设备计量检定/校准方案：每完全满足一个评审标准得 1分，满分 3 分; ③非强检医用设备计量检定/校准方案：每完全满足一个评审标准得1 分，满分 3 分; ④拟投入本项目检测设备（提供证明材料）：每完全满足一个评审标准得 1 分，满分 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供应商针对本项目制定的质量保证措施，包含①明确清晰的质量保证措施；②能满足采购人的多种需求的考虑及保证方案；③接受采购人对服务的监督、批评和建议及相应的整改措施。 二、评审标准： 1.完整性：实施方案须全面，思路清晰、分析透彻，内容完整、方案科学、合理； 2.可实施性；切合本项目实际情况，步骤明确、可操作性强； 3.针对性：总体方案能够紧扣项目实际情况，专业性强、内容科学、合理。 三、赋分标准（9 分）： ①明确清晰的质量保证措施：每完全满足一个评审标准得 1 分，满分 3 分; ②能满足采购人的多种需求的考虑及保证方案：每完全满足一个评审标准得 1 分，满分 3 分; ③接受采购人对服务的监督、批评和建议及相应的整改措施：每完全满足一个评审标准得 1 分，满分3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供应商针对本项目制定的应急处理方案，包含①对紧急或突发业务的应急保障措施；②应急响应时间；③出现问题应急人员安排。 二、评审标准： 1.完整性：实施方案须全面，思路清晰、分析透彻，内容完整、方案科学、合理； 2.可实施性；切合本项目实际情况，步骤明确、可操作性强； 3.针对性：总体方案能够紧扣项目实际情况，专业性强、内容科学、合理。 三、赋分标准（9 分）： ①对紧急或突发业务的应急保障措施：每完全满足一个评审标准得 1分，满分 3 分; ②应急响应时间：每完全满足一个评审标准得 1 分，满分3 分; ③出现问题应急人员安排：每完全满足一个评审标准得 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一、评审内容： 供应商提供履约能力证明，包含①服务质量检查制度；②管理内控制度、信息反馈制度等。 二、评审标准： 1.完整性：实施方案须全面，思路清晰、分析透彻，内容完整、方案科学、合理； 2.可实施性；切合本项目实际情况，步骤明确、可操作性强； 3.针对性：总体方案能够紧扣项目实际情况，专业性强、内容科学、合理。 三、赋分标准（6 分）： ①服务质量检查制度：每完全满足一个评审标准得 1 分，满分3 分; ②管理内控制度、信息反馈制度等：每完全满足一个评审标准得 1分，满分 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成果管理制度方案</w:t>
            </w:r>
          </w:p>
        </w:tc>
        <w:tc>
          <w:tcPr>
            <w:tcW w:type="dxa" w:w="2492"/>
          </w:tcPr>
          <w:p>
            <w:pPr>
              <w:pStyle w:val="null3"/>
            </w:pPr>
            <w:r>
              <w:rPr>
                <w:rFonts w:ascii="仿宋_GB2312" w:hAnsi="仿宋_GB2312" w:cs="仿宋_GB2312" w:eastAsia="仿宋_GB2312"/>
              </w:rPr>
              <w:t>一、评审内容： 供应商提供成果管理制度方案，包含①成果资料管理制度；②移交工作制度。 二、评审标准： 1.完整性：实施方案须全面，思路清晰、分析透彻，内容完整、方案科学、合理； 2.可实施性；切合本项目实际情况，步骤明确、可操作性强； 3.针对性：总体方案能够紧扣项目实际情况，专业性强、内容科学、合理。 三、赋分标准（6 分）： ①成果资料管理制度：每完全满足一个评审标准得 1 分，满分3 分; ②移交工作制度：每完全满足一个评审标准得 1 分，满分3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一、评审内容： 供应商提供拟投入的工作组成员的情况，包含①工作组成员管理组织架构、人员分工；②工作职责划分、业务管理流程等内容。 二、评审标准： 1.完整性：实施方案须全面，思路清晰、分析透彻，内容完整、方案科学、合理； 2.可实施性；切合本项目实际情况，步骤明确、可操作性强； 3.针对性：总体方案能够紧扣项目实际情况，专业性强、内容科学、合理。 三、赋分标准（6 分）： ①工作组成员管理组织架构、人员分工：每完全满足一个评审标准得 1 分，满分 3 分; ②工作职责划分、业务管理流程等内容：每完全满足一个评审标准得 1 分，满分 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1、供应商拟派项目负责人具有一级注册计量师资格，提供一级注册计量师证原件或者相关通过考试合格成绩证明及相关在职证明得2分； 2、供应商拟派项目团队人员（除项目负责人）具有相关技术能力，提供人员职称证书或职业（执业）资格证或等级证书等相关证书，每提供 1 人相关证书得 1.5分，满分9分，相同人员不重复计分。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供应商提供针对本项目的合理化建议方案。 1、方案内容针对性强、明确、全面得4 分； 2、方案内容可行但仍有优化空间的得3 分； 3、方案简单、粗略得 2 分； 4、方案内容表述前后不一致、套用其他项目方案或与项目需求不匹配及其他不利于项目实施得 1 分； 5、未提供不得分。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提供供应商近三年以来至少完成过医疗设备质量控制检测服务项目业绩，提供合同扫描件。每提供 1 份得2 分，满分 10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满足磋商文件要求且响应价格最低的磋商报价为评审基准价，其价格分为满分。其他供应商的价格分统一按照下列公式计算：磋商报价得分=（评审基准价/磋商报价） ×15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详见附件：格式服务响应偏离表.docx</w:t>
      </w:r>
    </w:p>
    <w:p>
      <w:pPr>
        <w:pStyle w:val="null3"/>
        <w:ind w:firstLine="960"/>
      </w:pPr>
      <w:r>
        <w:rPr>
          <w:rFonts w:ascii="仿宋_GB2312" w:hAnsi="仿宋_GB2312" w:cs="仿宋_GB2312" w:eastAsia="仿宋_GB2312"/>
        </w:rPr>
        <w:t>详见附件：格式商务响应偏离表.docx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