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版本号：SXZD2025-CG-019.1B120260104001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县城新区南大街南段新建提升改造口袋公园项目(二次)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SXZD2025-CG-019.1B1</w:t>
      </w:r>
      <w:r>
        <w:br/>
      </w:r>
      <w:r>
        <w:br/>
      </w:r>
      <w:r>
        <w:br/>
      </w:r>
    </w:p>
    <w:p>
      <w:pPr>
        <w:pStyle w:val="null3"/>
        <w:jc w:val="center"/>
        <w:outlineLvl w:val="2"/>
      </w:pPr>
      <w:r>
        <w:rPr>
          <w:rFonts w:ascii="仿宋_GB2312" w:hAnsi="仿宋_GB2312" w:cs="仿宋_GB2312" w:eastAsia="仿宋_GB2312"/>
          <w:sz w:val="28"/>
          <w:b/>
        </w:rPr>
        <w:t>周至县城市管理和综合执法局</w:t>
      </w:r>
    </w:p>
    <w:p>
      <w:pPr>
        <w:pStyle w:val="null3"/>
        <w:jc w:val="center"/>
        <w:outlineLvl w:val="2"/>
      </w:pPr>
      <w:r>
        <w:rPr>
          <w:rFonts w:ascii="仿宋_GB2312" w:hAnsi="仿宋_GB2312" w:cs="仿宋_GB2312" w:eastAsia="仿宋_GB2312"/>
          <w:sz w:val="28"/>
          <w:b/>
        </w:rPr>
        <w:t>陕西正德项目管理咨询有限公司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陕西正德项目管理咨询有限公司</w:t>
      </w:r>
      <w:r>
        <w:rPr>
          <w:rFonts w:ascii="仿宋_GB2312" w:hAnsi="仿宋_GB2312" w:cs="仿宋_GB2312" w:eastAsia="仿宋_GB2312"/>
        </w:rPr>
        <w:t>（以下简称“代理机构”）受</w:t>
      </w:r>
      <w:r>
        <w:rPr>
          <w:rFonts w:ascii="仿宋_GB2312" w:hAnsi="仿宋_GB2312" w:cs="仿宋_GB2312" w:eastAsia="仿宋_GB2312"/>
        </w:rPr>
        <w:t>周至县城市管理和综合执法局</w:t>
      </w:r>
      <w:r>
        <w:rPr>
          <w:rFonts w:ascii="仿宋_GB2312" w:hAnsi="仿宋_GB2312" w:cs="仿宋_GB2312" w:eastAsia="仿宋_GB2312"/>
        </w:rPr>
        <w:t>委托，拟对</w:t>
      </w:r>
      <w:r>
        <w:rPr>
          <w:rFonts w:ascii="仿宋_GB2312" w:hAnsi="仿宋_GB2312" w:cs="仿宋_GB2312" w:eastAsia="仿宋_GB2312"/>
        </w:rPr>
        <w:t>县城新区南大街南段新建提升改造口袋公园项目(二次)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SXZD2025-CG-019.1B1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县城新区南大街南段新建提升改造口袋公园项目(二次)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县城新区南段新建改造提升口袋公园;主要功能或目标:为不同人群提供专属的休闲场所;需满足的要求:增添城市的幸福感。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采购包1（县城新区南大街南段新建提升改造口袋公园项目）：属于专门面向中小企业采购。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1、营业执照：具有独立承担民事责任的能力的企业法人、事业法人、其他组织或自然人，并出具合法有效的营业执照或事业单位法人证书等国家规定的相关证明，自然人参与的提供其身份证明。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2、财务状况报告：2022、2023、2024 任意一年度经审计的财务报告（至少包括审计报告、资产负债表和利润表，成立时间至提交投标文件截止时间不足一年的可提供成立后任意时段的资产负债表）或磋商前六个月内银行出具的资信证明或政府采购信用担保机构出具的投标担保函；以上三种形式的资料提供任何一种即可。</w:t>
      </w:r>
    </w:p>
    <w:p>
      <w:pPr>
        <w:pStyle w:val="null3"/>
      </w:pPr>
      <w:r>
        <w:rPr>
          <w:rFonts w:ascii="仿宋_GB2312" w:hAnsi="仿宋_GB2312" w:cs="仿宋_GB2312" w:eastAsia="仿宋_GB2312"/>
        </w:rPr>
        <w:t>3、税收缴纳证明：提交响应文件截止时间前一年内至少一个月的纳税证明或完税证明，纳税证明或完税证明上应有代收机构或税务机关的公章或业务专用章。</w:t>
      </w:r>
    </w:p>
    <w:p>
      <w:pPr>
        <w:pStyle w:val="null3"/>
      </w:pPr>
      <w:r>
        <w:rPr>
          <w:rFonts w:ascii="仿宋_GB2312" w:hAnsi="仿宋_GB2312" w:cs="仿宋_GB2312" w:eastAsia="仿宋_GB2312"/>
        </w:rPr>
        <w:t>4、社会保障资金缴纳证明：提交响应文件截止时间前一年内至少一个月的社会保障资金缴存单据或社保机构开具的社会保险参保缴费情况证明，单据或证明上应有社保机构或代收机构的公章或业务专用章。</w:t>
      </w:r>
    </w:p>
    <w:p>
      <w:pPr>
        <w:pStyle w:val="null3"/>
      </w:pPr>
      <w:r>
        <w:rPr>
          <w:rFonts w:ascii="仿宋_GB2312" w:hAnsi="仿宋_GB2312" w:cs="仿宋_GB2312" w:eastAsia="仿宋_GB2312"/>
        </w:rPr>
        <w:t>5、专业技术能力：提供具有履行合同所必需的设备和专业技术能力的承诺。</w:t>
      </w:r>
    </w:p>
    <w:p>
      <w:pPr>
        <w:pStyle w:val="null3"/>
      </w:pPr>
      <w:r>
        <w:rPr>
          <w:rFonts w:ascii="仿宋_GB2312" w:hAnsi="仿宋_GB2312" w:cs="仿宋_GB2312" w:eastAsia="仿宋_GB2312"/>
        </w:rPr>
        <w:t>6、无重大违法记录的声明：参加政府采购活动前三年内，在经营活动中没有重大违法记录的书面声明（成立时间至提交响应文件截止时间不足三年的可提供成立至今的书面声明）。</w:t>
      </w:r>
    </w:p>
    <w:p>
      <w:pPr>
        <w:pStyle w:val="null3"/>
      </w:pPr>
      <w:r>
        <w:rPr>
          <w:rFonts w:ascii="仿宋_GB2312" w:hAnsi="仿宋_GB2312" w:cs="仿宋_GB2312" w:eastAsia="仿宋_GB2312"/>
        </w:rPr>
        <w:t>7、法定代表人授权书：法定代表人授权书及被授权人身份证（法定代表人直接参加磋商的须提供其法定代表人身份证），非法人单位参照执行。</w:t>
      </w:r>
    </w:p>
    <w:p>
      <w:pPr>
        <w:pStyle w:val="null3"/>
      </w:pPr>
      <w:r>
        <w:rPr>
          <w:rFonts w:ascii="仿宋_GB2312" w:hAnsi="仿宋_GB2312" w:cs="仿宋_GB2312" w:eastAsia="仿宋_GB2312"/>
        </w:rPr>
        <w:t>8、信用查询：供应商不得被列入中国执行信息公开网（http://zxgk.court.gov.cn）失信被执行人、信用中国（www.creditchina.gov.cn）违法税收黑名单、在中国政府采购网（www.ccgp.gov.cn）没有严重违法失信行为记录名单、以查询结果为准，提供网站截图。</w:t>
      </w:r>
    </w:p>
    <w:p>
      <w:pPr>
        <w:pStyle w:val="null3"/>
      </w:pPr>
      <w:r>
        <w:rPr>
          <w:rFonts w:ascii="仿宋_GB2312" w:hAnsi="仿宋_GB2312" w:cs="仿宋_GB2312" w:eastAsia="仿宋_GB2312"/>
        </w:rPr>
        <w:t>9、联合体：本项目不接受联合体磋商。</w:t>
      </w:r>
    </w:p>
    <w:p>
      <w:pPr>
        <w:pStyle w:val="null3"/>
      </w:pPr>
      <w:r>
        <w:rPr>
          <w:rFonts w:ascii="仿宋_GB2312" w:hAnsi="仿宋_GB2312" w:cs="仿宋_GB2312" w:eastAsia="仿宋_GB2312"/>
        </w:rPr>
        <w:t>10、其他：单位负责人为同一人或者存在直接控股、管理关系的不同供应商不得参加同一合同项下的政府采购活动。</w:t>
      </w:r>
    </w:p>
    <w:p>
      <w:pPr>
        <w:pStyle w:val="null3"/>
      </w:pPr>
      <w:r>
        <w:rPr>
          <w:rFonts w:ascii="仿宋_GB2312" w:hAnsi="仿宋_GB2312" w:cs="仿宋_GB2312" w:eastAsia="仿宋_GB2312"/>
        </w:rPr>
        <w:t>11、项目负责人：拟派项目负责人需具有园林绿化等相关专业中级及以上职称，且无在建项目；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西安市周至县太白南路居民一区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周至县城市管理和综合执法局经办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029-87156636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陕西正德项目管理咨询有限公司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陕西省西安市雁塔区太白南路紫薇尚层2707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褚夏琼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029-68858803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采购包1：1,020,175.59元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收费标准：按国家计委颁发的《招标代理服务收费管理暂行办法》（计价格[2002]1980号）和国家发展和改革委员会办公厅颁发的《关于招标代理服务收费有关问题的通知》（发改办价格[2003]857号）的有关规定执行收取标准计取。 2、中标单位在领取中标通知书前，须向采购代理机构一次性支付招标代理服务费。 3、代理服务费账户： （1）采购代理机构开户名称: 陕西正德项目管理咨询有限公司 （2）开户行名称：中国银行锦业路支行 （3）账号：1036 6564 6561 请供应商按照要求将服务费汇入以上指定账户，如因自身原因发生错误，产生的不利后果均由供应商自行承担。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周至县城市管理和综合执法局</w:t>
      </w:r>
      <w:r>
        <w:rPr>
          <w:rFonts w:ascii="仿宋_GB2312" w:hAnsi="仿宋_GB2312" w:cs="仿宋_GB2312" w:eastAsia="仿宋_GB2312"/>
        </w:rPr>
        <w:t>和</w:t>
      </w:r>
      <w:r>
        <w:rPr>
          <w:rFonts w:ascii="仿宋_GB2312" w:hAnsi="仿宋_GB2312" w:cs="仿宋_GB2312" w:eastAsia="仿宋_GB2312"/>
        </w:rPr>
        <w:t>陕西正德项目管理咨询有限公司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陕西正德项目管理咨询有限公司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陕西正德项目管理咨询有限公司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陕西正德项目管理咨询有限公司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陕西正德项目管理咨询有限公司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陕西正德项目管理咨询有限公司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联系人：褚夏琼</w:t>
      </w:r>
    </w:p>
    <w:p>
      <w:pPr>
        <w:pStyle w:val="null3"/>
      </w:pPr>
      <w:r>
        <w:rPr>
          <w:rFonts w:ascii="仿宋_GB2312" w:hAnsi="仿宋_GB2312" w:cs="仿宋_GB2312" w:eastAsia="仿宋_GB2312"/>
        </w:rPr>
        <w:t>联系电话：029-68858803</w:t>
      </w:r>
    </w:p>
    <w:p>
      <w:pPr>
        <w:pStyle w:val="null3"/>
      </w:pPr>
      <w:r>
        <w:rPr>
          <w:rFonts w:ascii="仿宋_GB2312" w:hAnsi="仿宋_GB2312" w:cs="仿宋_GB2312" w:eastAsia="仿宋_GB2312"/>
        </w:rPr>
        <w:t>地址：西安市雁塔区太白南路紫薇尚层2707</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1,020,175.59</w:t>
      </w:r>
    </w:p>
    <w:p>
      <w:pPr>
        <w:pStyle w:val="null3"/>
      </w:pPr>
      <w:r>
        <w:rPr>
          <w:rFonts w:ascii="仿宋_GB2312" w:hAnsi="仿宋_GB2312" w:cs="仿宋_GB2312" w:eastAsia="仿宋_GB2312"/>
        </w:rPr>
        <w:t>采购包最高限价（元）: 1,020,175.59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提升改造口袋公园</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1,020,175.59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标的名称：提升改造口袋公园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0"/>
              </w:rPr>
              <w:t>一、施工要求</w:t>
            </w:r>
          </w:p>
          <w:p>
            <w:pPr>
              <w:pStyle w:val="null3"/>
              <w:spacing w:after="120"/>
              <w:jc w:val="both"/>
            </w:pPr>
            <w:r>
              <w:rPr>
                <w:rFonts w:ascii="仿宋_GB2312" w:hAnsi="仿宋_GB2312" w:cs="仿宋_GB2312" w:eastAsia="仿宋_GB2312"/>
                <w:sz w:val="20"/>
              </w:rPr>
              <w:t>1. 工程概况</w:t>
            </w:r>
          </w:p>
          <w:p>
            <w:pPr>
              <w:pStyle w:val="null3"/>
              <w:ind w:firstLine="400"/>
            </w:pPr>
            <w:r>
              <w:rPr>
                <w:rFonts w:ascii="仿宋_GB2312" w:hAnsi="仿宋_GB2312" w:cs="仿宋_GB2312" w:eastAsia="仿宋_GB2312"/>
              </w:rPr>
              <w:t>主要功能或目标</w:t>
            </w:r>
            <w:r>
              <w:rPr>
                <w:rFonts w:ascii="仿宋_GB2312" w:hAnsi="仿宋_GB2312" w:cs="仿宋_GB2312" w:eastAsia="仿宋_GB2312"/>
              </w:rPr>
              <w:t>:</w:t>
            </w:r>
            <w:r>
              <w:rPr>
                <w:rFonts w:ascii="仿宋_GB2312" w:hAnsi="仿宋_GB2312" w:cs="仿宋_GB2312" w:eastAsia="仿宋_GB2312"/>
              </w:rPr>
              <w:t>为不同人群提供专属的休闲场所</w:t>
            </w:r>
            <w:r>
              <w:rPr>
                <w:rFonts w:ascii="仿宋_GB2312" w:hAnsi="仿宋_GB2312" w:cs="仿宋_GB2312" w:eastAsia="仿宋_GB2312"/>
              </w:rPr>
              <w:t>;</w:t>
            </w:r>
            <w:r>
              <w:rPr>
                <w:rFonts w:ascii="仿宋_GB2312" w:hAnsi="仿宋_GB2312" w:cs="仿宋_GB2312" w:eastAsia="仿宋_GB2312"/>
              </w:rPr>
              <w:t>需满足的要求</w:t>
            </w:r>
            <w:r>
              <w:rPr>
                <w:rFonts w:ascii="仿宋_GB2312" w:hAnsi="仿宋_GB2312" w:cs="仿宋_GB2312" w:eastAsia="仿宋_GB2312"/>
              </w:rPr>
              <w:t>:</w:t>
            </w:r>
            <w:r>
              <w:rPr>
                <w:rFonts w:ascii="仿宋_GB2312" w:hAnsi="仿宋_GB2312" w:cs="仿宋_GB2312" w:eastAsia="仿宋_GB2312"/>
              </w:rPr>
              <w:t>增添城市的幸福感</w:t>
            </w:r>
            <w:r>
              <w:rPr>
                <w:rFonts w:ascii="仿宋_GB2312" w:hAnsi="仿宋_GB2312" w:cs="仿宋_GB2312" w:eastAsia="仿宋_GB2312"/>
              </w:rPr>
              <w:t>。</w:t>
            </w:r>
          </w:p>
          <w:p>
            <w:pPr>
              <w:pStyle w:val="null3"/>
              <w:spacing w:after="120"/>
              <w:ind w:firstLine="432"/>
              <w:jc w:val="both"/>
            </w:pPr>
            <w:r>
              <w:rPr>
                <w:rFonts w:ascii="仿宋_GB2312" w:hAnsi="仿宋_GB2312" w:cs="仿宋_GB2312" w:eastAsia="仿宋_GB2312"/>
                <w:sz w:val="20"/>
              </w:rPr>
              <w:t>具体内容详见施工图及工程量清单。</w:t>
            </w:r>
          </w:p>
          <w:p>
            <w:pPr>
              <w:pStyle w:val="null3"/>
              <w:spacing w:after="120"/>
              <w:ind w:firstLine="432"/>
              <w:jc w:val="both"/>
            </w:pPr>
            <w:r>
              <w:rPr>
                <w:rFonts w:ascii="仿宋_GB2312" w:hAnsi="仿宋_GB2312" w:cs="仿宋_GB2312" w:eastAsia="仿宋_GB2312"/>
                <w:sz w:val="20"/>
              </w:rPr>
              <w:t>本项目最高限价为</w:t>
            </w:r>
            <w:r>
              <w:rPr>
                <w:rFonts w:ascii="仿宋_GB2312" w:hAnsi="仿宋_GB2312" w:cs="仿宋_GB2312" w:eastAsia="仿宋_GB2312"/>
                <w:sz w:val="20"/>
              </w:rPr>
              <w:t>1020175.59</w:t>
            </w:r>
            <w:r>
              <w:rPr>
                <w:rFonts w:ascii="仿宋_GB2312" w:hAnsi="仿宋_GB2312" w:cs="仿宋_GB2312" w:eastAsia="仿宋_GB2312"/>
                <w:sz w:val="20"/>
              </w:rPr>
              <w:t>元。</w:t>
            </w:r>
          </w:p>
          <w:p>
            <w:pPr>
              <w:pStyle w:val="null3"/>
              <w:spacing w:after="120"/>
              <w:jc w:val="both"/>
            </w:pPr>
            <w:r>
              <w:rPr>
                <w:rFonts w:ascii="仿宋_GB2312" w:hAnsi="仿宋_GB2312" w:cs="仿宋_GB2312" w:eastAsia="仿宋_GB2312"/>
                <w:sz w:val="20"/>
              </w:rPr>
              <w:t>2.项目要求</w:t>
            </w:r>
          </w:p>
          <w:p>
            <w:pPr>
              <w:pStyle w:val="null3"/>
              <w:spacing w:after="120"/>
              <w:jc w:val="both"/>
            </w:pPr>
            <w:r>
              <w:rPr>
                <w:rFonts w:ascii="仿宋_GB2312" w:hAnsi="仿宋_GB2312" w:cs="仿宋_GB2312" w:eastAsia="仿宋_GB2312"/>
                <w:sz w:val="20"/>
              </w:rPr>
              <w:t>2.1本项目所属行业：建筑业</w:t>
            </w:r>
          </w:p>
          <w:p>
            <w:pPr>
              <w:pStyle w:val="null3"/>
              <w:spacing w:after="120"/>
              <w:jc w:val="both"/>
            </w:pPr>
            <w:r>
              <w:rPr>
                <w:rFonts w:ascii="仿宋_GB2312" w:hAnsi="仿宋_GB2312" w:cs="仿宋_GB2312" w:eastAsia="仿宋_GB2312"/>
                <w:sz w:val="20"/>
              </w:rPr>
              <w:t>2.2 施工范围</w:t>
            </w:r>
          </w:p>
          <w:p>
            <w:pPr>
              <w:pStyle w:val="null3"/>
              <w:spacing w:after="120"/>
              <w:ind w:firstLine="400"/>
              <w:jc w:val="both"/>
            </w:pPr>
            <w:r>
              <w:rPr>
                <w:rFonts w:ascii="仿宋_GB2312" w:hAnsi="仿宋_GB2312" w:cs="仿宋_GB2312" w:eastAsia="仿宋_GB2312"/>
                <w:sz w:val="20"/>
              </w:rPr>
              <w:t>磋商文件、工程量清单及施工图纸等本项目用地范围内全部施工工作，直至竣工验收合格并整体移交、工程保修期内的缺陷修复和保修工作，同时承担相关协调工作。</w:t>
            </w:r>
          </w:p>
          <w:p>
            <w:pPr>
              <w:pStyle w:val="null3"/>
              <w:spacing w:after="120"/>
              <w:jc w:val="both"/>
            </w:pPr>
            <w:r>
              <w:rPr>
                <w:rFonts w:ascii="仿宋_GB2312" w:hAnsi="仿宋_GB2312" w:cs="仿宋_GB2312" w:eastAsia="仿宋_GB2312"/>
                <w:sz w:val="20"/>
              </w:rPr>
              <w:t>二、商务条款</w:t>
            </w:r>
          </w:p>
          <w:p>
            <w:pPr>
              <w:pStyle w:val="null3"/>
              <w:spacing w:after="120"/>
              <w:jc w:val="both"/>
            </w:pPr>
            <w:r>
              <w:rPr>
                <w:rFonts w:ascii="仿宋_GB2312" w:hAnsi="仿宋_GB2312" w:cs="仿宋_GB2312" w:eastAsia="仿宋_GB2312"/>
                <w:sz w:val="20"/>
              </w:rPr>
              <w:t>1.工期及工程地点</w:t>
            </w:r>
          </w:p>
          <w:p>
            <w:pPr>
              <w:pStyle w:val="null3"/>
              <w:spacing w:after="120"/>
              <w:jc w:val="both"/>
            </w:pPr>
            <w:r>
              <w:rPr>
                <w:rFonts w:ascii="仿宋_GB2312" w:hAnsi="仿宋_GB2312" w:cs="仿宋_GB2312" w:eastAsia="仿宋_GB2312"/>
                <w:sz w:val="20"/>
              </w:rPr>
              <w:t xml:space="preserve">1.1 工期： </w:t>
            </w:r>
            <w:r>
              <w:rPr>
                <w:rFonts w:ascii="仿宋_GB2312" w:hAnsi="仿宋_GB2312" w:cs="仿宋_GB2312" w:eastAsia="仿宋_GB2312"/>
                <w:sz w:val="20"/>
              </w:rPr>
              <w:t>30</w:t>
            </w:r>
            <w:r>
              <w:rPr>
                <w:rFonts w:ascii="仿宋_GB2312" w:hAnsi="仿宋_GB2312" w:cs="仿宋_GB2312" w:eastAsia="仿宋_GB2312"/>
                <w:sz w:val="20"/>
              </w:rPr>
              <w:t>日历天。</w:t>
            </w:r>
          </w:p>
          <w:p>
            <w:pPr>
              <w:pStyle w:val="null3"/>
              <w:spacing w:after="120"/>
              <w:jc w:val="both"/>
            </w:pPr>
            <w:r>
              <w:rPr>
                <w:rFonts w:ascii="仿宋_GB2312" w:hAnsi="仿宋_GB2312" w:cs="仿宋_GB2312" w:eastAsia="仿宋_GB2312"/>
                <w:sz w:val="20"/>
              </w:rPr>
              <w:t>1.2 工程地点： 采购人指定地点。</w:t>
            </w:r>
          </w:p>
          <w:p>
            <w:pPr>
              <w:pStyle w:val="null3"/>
              <w:spacing w:after="120"/>
              <w:jc w:val="both"/>
            </w:pPr>
            <w:r>
              <w:rPr>
                <w:rFonts w:ascii="仿宋_GB2312" w:hAnsi="仿宋_GB2312" w:cs="仿宋_GB2312" w:eastAsia="仿宋_GB2312"/>
                <w:sz w:val="20"/>
              </w:rPr>
              <w:t>2.验收</w:t>
            </w:r>
          </w:p>
          <w:p>
            <w:pPr>
              <w:pStyle w:val="null3"/>
              <w:spacing w:after="120"/>
              <w:jc w:val="both"/>
            </w:pPr>
            <w:r>
              <w:rPr>
                <w:rFonts w:ascii="仿宋_GB2312" w:hAnsi="仿宋_GB2312" w:cs="仿宋_GB2312" w:eastAsia="仿宋_GB2312"/>
                <w:sz w:val="20"/>
              </w:rPr>
              <w:t>2.1  在施工过程中，采购人同有关人员将对施工过程中的隐蔽工程、材料进行全过程监督验收。</w:t>
            </w:r>
          </w:p>
          <w:p>
            <w:pPr>
              <w:pStyle w:val="null3"/>
              <w:spacing w:after="120"/>
              <w:jc w:val="both"/>
            </w:pPr>
            <w:r>
              <w:rPr>
                <w:rFonts w:ascii="仿宋_GB2312" w:hAnsi="仿宋_GB2312" w:cs="仿宋_GB2312" w:eastAsia="仿宋_GB2312"/>
                <w:sz w:val="20"/>
              </w:rPr>
              <w:t>2.2 竣工验收：成交供应商按国家工程竣工验收有关规定，向采购人提供完整竣工资料及竣工验收报告；采购人收到竣工验收报告后组织有关单位验收，验收合格后予以认可或提出修改意见；成交供应商按要求修改，并承担由自身原因造成的修改费用；工程竣工验收通过后，成交供应商送交竣工验收报告日期为实际竣工日期；采购人要求修改后通过竣工验收的，实际竣工日期为成交供应商修改后提请验收的日期。</w:t>
            </w:r>
          </w:p>
          <w:p>
            <w:pPr>
              <w:pStyle w:val="null3"/>
              <w:spacing w:after="120"/>
              <w:jc w:val="both"/>
            </w:pPr>
            <w:r>
              <w:rPr>
                <w:rFonts w:ascii="仿宋_GB2312" w:hAnsi="仿宋_GB2312" w:cs="仿宋_GB2312" w:eastAsia="仿宋_GB2312"/>
                <w:sz w:val="20"/>
              </w:rPr>
              <w:t>2.3 验收不合格的成交供应商，必须在接到通知后按要求进行修改与完善，不执行者须赔偿采购人的损失。</w:t>
            </w:r>
          </w:p>
          <w:p>
            <w:pPr>
              <w:pStyle w:val="null3"/>
              <w:spacing w:after="120"/>
              <w:jc w:val="both"/>
            </w:pPr>
            <w:r>
              <w:rPr>
                <w:rFonts w:ascii="仿宋_GB2312" w:hAnsi="仿宋_GB2312" w:cs="仿宋_GB2312" w:eastAsia="仿宋_GB2312"/>
                <w:sz w:val="20"/>
              </w:rPr>
              <w:t>2.4 验收依据</w:t>
            </w:r>
          </w:p>
          <w:p>
            <w:pPr>
              <w:pStyle w:val="null3"/>
              <w:spacing w:after="120"/>
              <w:ind w:firstLine="400"/>
              <w:jc w:val="both"/>
            </w:pPr>
            <w:r>
              <w:rPr>
                <w:rFonts w:ascii="仿宋_GB2312" w:hAnsi="仿宋_GB2312" w:cs="仿宋_GB2312" w:eastAsia="仿宋_GB2312"/>
                <w:sz w:val="20"/>
              </w:rPr>
              <w:t>合同文本；国家有关的验收标准及规范；磋商文件；响应文件。</w:t>
            </w:r>
          </w:p>
          <w:p>
            <w:pPr>
              <w:pStyle w:val="null3"/>
              <w:spacing w:after="120"/>
              <w:jc w:val="both"/>
            </w:pPr>
            <w:r>
              <w:rPr>
                <w:rFonts w:ascii="仿宋_GB2312" w:hAnsi="仿宋_GB2312" w:cs="仿宋_GB2312" w:eastAsia="仿宋_GB2312"/>
                <w:sz w:val="20"/>
              </w:rPr>
              <w:t>4.款项结算</w:t>
            </w:r>
          </w:p>
          <w:p>
            <w:pPr>
              <w:pStyle w:val="null3"/>
              <w:spacing w:after="120"/>
              <w:jc w:val="both"/>
            </w:pPr>
            <w:r>
              <w:rPr>
                <w:rFonts w:ascii="仿宋_GB2312" w:hAnsi="仿宋_GB2312" w:cs="仿宋_GB2312" w:eastAsia="仿宋_GB2312"/>
                <w:sz w:val="20"/>
              </w:rPr>
              <w:t>按进度付款，</w:t>
            </w:r>
            <w:r>
              <w:rPr>
                <w:rFonts w:ascii="仿宋_GB2312" w:hAnsi="仿宋_GB2312" w:cs="仿宋_GB2312" w:eastAsia="仿宋_GB2312"/>
                <w:sz w:val="20"/>
              </w:rPr>
              <w:t>完成合同工程量</w:t>
            </w:r>
            <w:r>
              <w:rPr>
                <w:rFonts w:ascii="仿宋_GB2312" w:hAnsi="仿宋_GB2312" w:cs="仿宋_GB2312" w:eastAsia="仿宋_GB2312"/>
                <w:sz w:val="20"/>
              </w:rPr>
              <w:t>30%时，支付合同价款的30%；乙方完成合同工程量70%时，支付至合同款的75%；工程竣工验收合格后审计完，支付至合同价款的97%；剩余3%的质保金，在验收合格一年后无息退还。</w:t>
            </w:r>
          </w:p>
          <w:p>
            <w:pPr>
              <w:pStyle w:val="null3"/>
              <w:spacing w:after="120"/>
              <w:jc w:val="both"/>
            </w:pPr>
            <w:r>
              <w:rPr>
                <w:rFonts w:ascii="仿宋_GB2312" w:hAnsi="仿宋_GB2312" w:cs="仿宋_GB2312" w:eastAsia="仿宋_GB2312"/>
                <w:sz w:val="20"/>
              </w:rPr>
              <w:t>3.工程质量及保修</w:t>
            </w:r>
          </w:p>
          <w:p>
            <w:pPr>
              <w:pStyle w:val="null3"/>
              <w:spacing w:after="120"/>
              <w:jc w:val="both"/>
            </w:pPr>
            <w:r>
              <w:rPr>
                <w:rFonts w:ascii="仿宋_GB2312" w:hAnsi="仿宋_GB2312" w:cs="仿宋_GB2312" w:eastAsia="仿宋_GB2312"/>
                <w:sz w:val="20"/>
              </w:rPr>
              <w:t>3.1 本次磋商项目的建设质量要求：达到国家施工质量验收规范合格标准。</w:t>
            </w:r>
          </w:p>
          <w:p>
            <w:pPr>
              <w:pStyle w:val="null3"/>
              <w:spacing w:after="120"/>
              <w:jc w:val="both"/>
            </w:pPr>
            <w:r>
              <w:rPr>
                <w:rFonts w:ascii="仿宋_GB2312" w:hAnsi="仿宋_GB2312" w:cs="仿宋_GB2312" w:eastAsia="仿宋_GB2312"/>
                <w:sz w:val="20"/>
              </w:rPr>
              <w:t>3.2 质保期：2年。</w:t>
            </w:r>
          </w:p>
          <w:p>
            <w:pPr>
              <w:pStyle w:val="null3"/>
              <w:spacing w:after="120"/>
              <w:jc w:val="both"/>
            </w:pPr>
            <w:r>
              <w:rPr>
                <w:rFonts w:ascii="仿宋_GB2312" w:hAnsi="仿宋_GB2312" w:cs="仿宋_GB2312" w:eastAsia="仿宋_GB2312"/>
                <w:sz w:val="20"/>
              </w:rPr>
              <w:t>3.3  成交供应商承诺的质保期起始时间为竣工验收合格之日。</w:t>
            </w:r>
          </w:p>
          <w:p>
            <w:pPr>
              <w:pStyle w:val="null3"/>
              <w:spacing w:after="120"/>
              <w:jc w:val="both"/>
            </w:pPr>
            <w:r>
              <w:rPr>
                <w:rFonts w:ascii="仿宋_GB2312" w:hAnsi="仿宋_GB2312" w:cs="仿宋_GB2312" w:eastAsia="仿宋_GB2312"/>
                <w:sz w:val="20"/>
              </w:rPr>
              <w:t>3.4 材料进场前向采购人提供材料出厂合格证和有关试验合格资料， 并取得采购人批准后方可进场。</w:t>
            </w:r>
          </w:p>
          <w:p>
            <w:pPr>
              <w:pStyle w:val="null3"/>
              <w:spacing w:after="120"/>
              <w:jc w:val="both"/>
            </w:pPr>
            <w:r>
              <w:rPr>
                <w:rFonts w:ascii="仿宋_GB2312" w:hAnsi="仿宋_GB2312" w:cs="仿宋_GB2312" w:eastAsia="仿宋_GB2312"/>
                <w:sz w:val="20"/>
              </w:rPr>
              <w:t>3.5 施工过程中，每道工序都应严格要求进行施工，偏差控制在技术规范内，遇到疑难问题应及时反馈给采购人，如有变更应作出书面报告， 待采购人批复后才能施工。</w:t>
            </w:r>
          </w:p>
          <w:p>
            <w:pPr>
              <w:pStyle w:val="null3"/>
              <w:spacing w:after="120"/>
              <w:jc w:val="both"/>
            </w:pPr>
            <w:r>
              <w:rPr>
                <w:rFonts w:ascii="仿宋_GB2312" w:hAnsi="仿宋_GB2312" w:cs="仿宋_GB2312" w:eastAsia="仿宋_GB2312"/>
                <w:sz w:val="20"/>
              </w:rPr>
              <w:t>3.6 施工中每一道工序应进行自检，抽检，与采购人共检并做好资料的填写记录， 上一道工序不合格不得流入下一道工序。</w:t>
            </w:r>
          </w:p>
          <w:p>
            <w:pPr>
              <w:pStyle w:val="null3"/>
              <w:spacing w:after="120"/>
              <w:jc w:val="both"/>
            </w:pPr>
            <w:r>
              <w:rPr>
                <w:rFonts w:ascii="仿宋_GB2312" w:hAnsi="仿宋_GB2312" w:cs="仿宋_GB2312" w:eastAsia="仿宋_GB2312"/>
                <w:sz w:val="20"/>
              </w:rPr>
              <w:t>3.7 做好原材料的保护、贮存、运输，确保施工原材料的质量</w:t>
            </w:r>
          </w:p>
          <w:p>
            <w:pPr>
              <w:pStyle w:val="null3"/>
              <w:spacing w:after="120"/>
              <w:jc w:val="both"/>
            </w:pPr>
            <w:r>
              <w:rPr>
                <w:rFonts w:ascii="仿宋_GB2312" w:hAnsi="仿宋_GB2312" w:cs="仿宋_GB2312" w:eastAsia="仿宋_GB2312"/>
                <w:sz w:val="20"/>
              </w:rPr>
              <w:t>3.8 采购人若对成交供应商提出质量服务要求，所有涉及货物制造商的有关事项均由成交供应商负责。</w:t>
            </w:r>
          </w:p>
          <w:p>
            <w:pPr>
              <w:pStyle w:val="null3"/>
              <w:spacing w:after="120"/>
              <w:jc w:val="both"/>
            </w:pPr>
            <w:r>
              <w:rPr>
                <w:rFonts w:ascii="仿宋_GB2312" w:hAnsi="仿宋_GB2312" w:cs="仿宋_GB2312" w:eastAsia="仿宋_GB2312"/>
                <w:sz w:val="20"/>
              </w:rPr>
              <w:t>4.安全保证</w:t>
            </w:r>
          </w:p>
          <w:p>
            <w:pPr>
              <w:pStyle w:val="null3"/>
              <w:spacing w:after="120"/>
              <w:jc w:val="both"/>
            </w:pPr>
            <w:r>
              <w:rPr>
                <w:rFonts w:ascii="仿宋_GB2312" w:hAnsi="仿宋_GB2312" w:cs="仿宋_GB2312" w:eastAsia="仿宋_GB2312"/>
                <w:sz w:val="20"/>
              </w:rPr>
              <w:t>4.1 建立健全安全生产规章制度， 完善安全生产管理机构， 设立专职安全员负责现场安全生产的检查和监督工作， 所有施工人员必须经过三级安全教育， 特殊工种应有上岗证。</w:t>
            </w:r>
          </w:p>
          <w:p>
            <w:pPr>
              <w:pStyle w:val="null3"/>
              <w:spacing w:after="120"/>
              <w:jc w:val="both"/>
            </w:pPr>
            <w:r>
              <w:rPr>
                <w:rFonts w:ascii="仿宋_GB2312" w:hAnsi="仿宋_GB2312" w:cs="仿宋_GB2312" w:eastAsia="仿宋_GB2312"/>
                <w:sz w:val="20"/>
              </w:rPr>
              <w:t>4.2 在作业区周围要设置施工警示牌， 锥形交通标示或其他醒目警示标志， 夜间作业要设置警示灯。</w:t>
            </w:r>
          </w:p>
          <w:p>
            <w:pPr>
              <w:pStyle w:val="null3"/>
              <w:spacing w:after="120"/>
              <w:jc w:val="both"/>
            </w:pPr>
            <w:r>
              <w:rPr>
                <w:rFonts w:ascii="仿宋_GB2312" w:hAnsi="仿宋_GB2312" w:cs="仿宋_GB2312" w:eastAsia="仿宋_GB2312"/>
                <w:sz w:val="20"/>
              </w:rPr>
              <w:t>4.3 用电设备有专人管理， 并有可靠的接地， 临时的电线电缆要合理安置， 注意安全用电。</w:t>
            </w:r>
          </w:p>
          <w:p>
            <w:pPr>
              <w:pStyle w:val="null3"/>
              <w:spacing w:after="120"/>
              <w:jc w:val="both"/>
            </w:pPr>
            <w:r>
              <w:rPr>
                <w:rFonts w:ascii="仿宋_GB2312" w:hAnsi="仿宋_GB2312" w:cs="仿宋_GB2312" w:eastAsia="仿宋_GB2312"/>
                <w:sz w:val="20"/>
              </w:rPr>
              <w:t>4.4 认真遵守安装程序和操作规程， 严禁违章作业。施工中因违规操作出现的安全隐患均由成交供应商负责。</w:t>
            </w:r>
          </w:p>
          <w:p>
            <w:pPr>
              <w:pStyle w:val="null3"/>
              <w:spacing w:after="120"/>
              <w:jc w:val="both"/>
            </w:pPr>
            <w:r>
              <w:rPr>
                <w:rFonts w:ascii="仿宋_GB2312" w:hAnsi="仿宋_GB2312" w:cs="仿宋_GB2312" w:eastAsia="仿宋_GB2312"/>
                <w:sz w:val="20"/>
              </w:rPr>
              <w:t>4.5  因施工中出现的任何安全事故， 所产生的赔偿、均由成交供应商负责。</w:t>
            </w:r>
          </w:p>
          <w:p>
            <w:pPr>
              <w:pStyle w:val="null3"/>
              <w:spacing w:after="120"/>
              <w:jc w:val="both"/>
            </w:pPr>
            <w:r>
              <w:rPr>
                <w:rFonts w:ascii="仿宋_GB2312" w:hAnsi="仿宋_GB2312" w:cs="仿宋_GB2312" w:eastAsia="仿宋_GB2312"/>
                <w:sz w:val="20"/>
              </w:rPr>
              <w:t>5.环境保护</w:t>
            </w:r>
          </w:p>
          <w:p>
            <w:pPr>
              <w:pStyle w:val="null3"/>
              <w:spacing w:after="120"/>
              <w:jc w:val="both"/>
            </w:pPr>
            <w:r>
              <w:rPr>
                <w:rFonts w:ascii="仿宋_GB2312" w:hAnsi="仿宋_GB2312" w:cs="仿宋_GB2312" w:eastAsia="仿宋_GB2312"/>
                <w:sz w:val="20"/>
              </w:rPr>
              <w:t>5.1 施工中应保持道路整洁卫生， 沙石、泥土等在运输过程中要盖好，避免尘土飞扬， 泥沙撒地。</w:t>
            </w:r>
          </w:p>
          <w:p>
            <w:pPr>
              <w:pStyle w:val="null3"/>
              <w:spacing w:after="120"/>
              <w:jc w:val="both"/>
            </w:pPr>
            <w:r>
              <w:rPr>
                <w:rFonts w:ascii="仿宋_GB2312" w:hAnsi="仿宋_GB2312" w:cs="仿宋_GB2312" w:eastAsia="仿宋_GB2312"/>
                <w:sz w:val="20"/>
              </w:rPr>
              <w:t>5.2土方施工应尽可能保护好花草树木，或完工后及时补植。</w:t>
            </w:r>
          </w:p>
          <w:p>
            <w:pPr>
              <w:pStyle w:val="null3"/>
              <w:spacing w:after="120"/>
              <w:jc w:val="both"/>
            </w:pPr>
            <w:r>
              <w:rPr>
                <w:rFonts w:ascii="仿宋_GB2312" w:hAnsi="仿宋_GB2312" w:cs="仿宋_GB2312" w:eastAsia="仿宋_GB2312"/>
                <w:sz w:val="20"/>
              </w:rPr>
              <w:t>5.3 采用合理的环保措施，避免由于作业、施工操作引起的粉尘、有害气体的污染， 若被污染应及时清洁， 不留尾巴。</w:t>
            </w:r>
          </w:p>
          <w:p>
            <w:pPr>
              <w:pStyle w:val="null3"/>
              <w:spacing w:after="120"/>
              <w:jc w:val="both"/>
            </w:pPr>
            <w:r>
              <w:rPr>
                <w:rFonts w:ascii="仿宋_GB2312" w:hAnsi="仿宋_GB2312" w:cs="仿宋_GB2312" w:eastAsia="仿宋_GB2312"/>
                <w:sz w:val="20"/>
              </w:rPr>
              <w:t>5.4避免由于机械施工引起的噪音等对周围居民生活的影响， 保证居民生活的用水用电及通讯管线的正常使用。</w:t>
            </w:r>
          </w:p>
          <w:p>
            <w:pPr>
              <w:pStyle w:val="null3"/>
              <w:spacing w:after="120"/>
              <w:jc w:val="both"/>
            </w:pPr>
            <w:r>
              <w:rPr>
                <w:rFonts w:ascii="仿宋_GB2312" w:hAnsi="仿宋_GB2312" w:cs="仿宋_GB2312" w:eastAsia="仿宋_GB2312"/>
                <w:sz w:val="20"/>
              </w:rPr>
              <w:t>6.施工方案</w:t>
            </w:r>
          </w:p>
          <w:p>
            <w:pPr>
              <w:pStyle w:val="null3"/>
              <w:spacing w:after="120"/>
              <w:jc w:val="both"/>
            </w:pPr>
            <w:r>
              <w:rPr>
                <w:rFonts w:ascii="仿宋_GB2312" w:hAnsi="仿宋_GB2312" w:cs="仿宋_GB2312" w:eastAsia="仿宋_GB2312"/>
                <w:sz w:val="20"/>
              </w:rPr>
              <w:t>6.1 施工方案中应对根据建设要求提出有针对性，切实可行的实施方案。</w:t>
            </w:r>
          </w:p>
          <w:p>
            <w:pPr>
              <w:pStyle w:val="null3"/>
              <w:spacing w:after="120"/>
              <w:jc w:val="both"/>
            </w:pPr>
            <w:r>
              <w:rPr>
                <w:rFonts w:ascii="仿宋_GB2312" w:hAnsi="仿宋_GB2312" w:cs="仿宋_GB2312" w:eastAsia="仿宋_GB2312"/>
                <w:sz w:val="20"/>
              </w:rPr>
              <w:t>6.2 采购人保留对成交供应商提供的施工方案要求修改的权利，只有获得采购人确认后的施工方案才能进行施工。</w:t>
            </w:r>
          </w:p>
          <w:p>
            <w:pPr>
              <w:pStyle w:val="null3"/>
              <w:spacing w:after="120"/>
              <w:jc w:val="both"/>
            </w:pPr>
            <w:r>
              <w:rPr>
                <w:rFonts w:ascii="仿宋_GB2312" w:hAnsi="仿宋_GB2312" w:cs="仿宋_GB2312" w:eastAsia="仿宋_GB2312"/>
                <w:sz w:val="20"/>
              </w:rPr>
              <w:t>6.3 工程完工后， 整套竣工资料， 经审校合格后， 方能申报竣工验收。</w:t>
            </w:r>
          </w:p>
          <w:p>
            <w:pPr>
              <w:pStyle w:val="null3"/>
              <w:spacing w:after="120"/>
              <w:jc w:val="both"/>
            </w:pPr>
            <w:r>
              <w:rPr>
                <w:rFonts w:ascii="仿宋_GB2312" w:hAnsi="仿宋_GB2312" w:cs="仿宋_GB2312" w:eastAsia="仿宋_GB2312"/>
                <w:sz w:val="20"/>
              </w:rPr>
              <w:t>6.4 根据成交供应商制作详细工程进度网络图，组织施工；如有天气或不可抗力因素影响工程进行现象发生时，成交供应商应及时向采购人报告，经采购人协调解决后方可继续施工。</w:t>
            </w:r>
          </w:p>
          <w:p>
            <w:pPr>
              <w:pStyle w:val="null3"/>
              <w:spacing w:after="120"/>
              <w:jc w:val="both"/>
            </w:pPr>
            <w:r>
              <w:rPr>
                <w:rFonts w:ascii="仿宋_GB2312" w:hAnsi="仿宋_GB2312" w:cs="仿宋_GB2312" w:eastAsia="仿宋_GB2312"/>
                <w:sz w:val="20"/>
              </w:rPr>
              <w:t>7.技术资料与服务</w:t>
            </w:r>
          </w:p>
          <w:p>
            <w:pPr>
              <w:pStyle w:val="null3"/>
              <w:spacing w:after="120"/>
              <w:jc w:val="both"/>
            </w:pPr>
            <w:r>
              <w:rPr>
                <w:rFonts w:ascii="仿宋_GB2312" w:hAnsi="仿宋_GB2312" w:cs="仿宋_GB2312" w:eastAsia="仿宋_GB2312"/>
                <w:sz w:val="20"/>
              </w:rPr>
              <w:t>7.1 技术资料：</w:t>
            </w:r>
          </w:p>
          <w:p>
            <w:pPr>
              <w:pStyle w:val="null3"/>
              <w:spacing w:after="120"/>
              <w:jc w:val="both"/>
            </w:pPr>
            <w:r>
              <w:rPr>
                <w:rFonts w:ascii="仿宋_GB2312" w:hAnsi="仿宋_GB2312" w:cs="仿宋_GB2312" w:eastAsia="仿宋_GB2312"/>
                <w:sz w:val="20"/>
              </w:rPr>
              <w:t>7.2 其它服务要求：</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1）工程使用期间，凡发生质量问题，成交供应商均应能够及时地向采购人提供相应的技术服务并解决所出现的质量问题。在质量保证期内，如发现质量问题，成交供应商在接到通知后24 小时到现场，如属质量问题， 由成交供应商负责免费更换或维修。</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2）服务应以包含与相关部门协调对接，并承担相关费用。</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3）服务人员不能完成任务时， 需及时更换工程师。</w:t>
            </w:r>
          </w:p>
          <w:p>
            <w:pPr>
              <w:pStyle w:val="null3"/>
              <w:spacing w:before="135"/>
              <w:ind w:left="120"/>
            </w:pPr>
            <w:r>
              <w:rPr>
                <w:rFonts w:ascii="仿宋_GB2312" w:hAnsi="仿宋_GB2312" w:cs="仿宋_GB2312" w:eastAsia="仿宋_GB2312"/>
                <w:sz w:val="20"/>
              </w:rPr>
              <w:t>8.违约责任</w:t>
            </w:r>
          </w:p>
          <w:p>
            <w:pPr>
              <w:pStyle w:val="null3"/>
              <w:spacing w:before="135"/>
              <w:ind w:left="120"/>
            </w:pPr>
            <w:r>
              <w:rPr>
                <w:rFonts w:ascii="仿宋_GB2312" w:hAnsi="仿宋_GB2312" w:cs="仿宋_GB2312" w:eastAsia="仿宋_GB2312"/>
                <w:sz w:val="20"/>
              </w:rPr>
              <w:t>8.1 按《中华人民共和国民法典》中的相关条款执行。</w:t>
            </w:r>
          </w:p>
          <w:p>
            <w:pPr>
              <w:pStyle w:val="null3"/>
              <w:spacing w:before="195"/>
              <w:ind w:left="120"/>
            </w:pPr>
            <w:r>
              <w:rPr>
                <w:rFonts w:ascii="仿宋_GB2312" w:hAnsi="仿宋_GB2312" w:cs="仿宋_GB2312" w:eastAsia="仿宋_GB2312"/>
                <w:sz w:val="20"/>
              </w:rPr>
              <w:t xml:space="preserve">8.2  </w:t>
            </w:r>
            <w:r>
              <w:rPr>
                <w:rFonts w:ascii="仿宋_GB2312" w:hAnsi="仿宋_GB2312" w:cs="仿宋_GB2312" w:eastAsia="仿宋_GB2312"/>
                <w:sz w:val="20"/>
              </w:rPr>
              <w:t>成交供应商</w:t>
            </w:r>
            <w:r>
              <w:rPr>
                <w:rFonts w:ascii="仿宋_GB2312" w:hAnsi="仿宋_GB2312" w:cs="仿宋_GB2312" w:eastAsia="仿宋_GB2312"/>
                <w:sz w:val="20"/>
              </w:rPr>
              <w:t>未按合同要求施工或工程质量不能满足建设要求的，采购人有权终止合同，并对其违约行为进行追究。</w:t>
            </w:r>
          </w:p>
          <w:p>
            <w:pPr>
              <w:pStyle w:val="null3"/>
              <w:spacing w:after="120"/>
              <w:jc w:val="both"/>
            </w:pPr>
            <w:r>
              <w:rPr>
                <w:rFonts w:ascii="仿宋_GB2312" w:hAnsi="仿宋_GB2312" w:cs="仿宋_GB2312" w:eastAsia="仿宋_GB2312"/>
                <w:sz w:val="20"/>
              </w:rPr>
              <w:t>三、编制说明</w:t>
            </w:r>
          </w:p>
          <w:p>
            <w:pPr>
              <w:pStyle w:val="null3"/>
              <w:spacing w:after="120"/>
              <w:jc w:val="both"/>
            </w:pPr>
            <w:r>
              <w:rPr>
                <w:rFonts w:ascii="仿宋_GB2312" w:hAnsi="仿宋_GB2312" w:cs="仿宋_GB2312" w:eastAsia="仿宋_GB2312"/>
                <w:sz w:val="20"/>
              </w:rPr>
              <w:t>一、工程概况</w:t>
            </w:r>
          </w:p>
          <w:p>
            <w:pPr>
              <w:pStyle w:val="null3"/>
              <w:spacing w:after="120"/>
              <w:jc w:val="both"/>
            </w:pPr>
            <w:r>
              <w:rPr>
                <w:rFonts w:ascii="仿宋_GB2312" w:hAnsi="仿宋_GB2312" w:cs="仿宋_GB2312" w:eastAsia="仿宋_GB2312"/>
                <w:sz w:val="20"/>
              </w:rPr>
              <w:t>工程名称：县城新区南大街南段新建提升改造口袋公园项目</w:t>
            </w:r>
          </w:p>
          <w:p>
            <w:pPr>
              <w:pStyle w:val="null3"/>
              <w:spacing w:after="120"/>
              <w:jc w:val="both"/>
            </w:pPr>
            <w:r>
              <w:rPr>
                <w:rFonts w:ascii="仿宋_GB2312" w:hAnsi="仿宋_GB2312" w:cs="仿宋_GB2312" w:eastAsia="仿宋_GB2312"/>
                <w:sz w:val="20"/>
              </w:rPr>
              <w:t>工程地点：西安市周至县</w:t>
            </w:r>
          </w:p>
          <w:p>
            <w:pPr>
              <w:pStyle w:val="null3"/>
              <w:spacing w:after="120"/>
              <w:jc w:val="both"/>
            </w:pPr>
            <w:r>
              <w:rPr>
                <w:rFonts w:ascii="仿宋_GB2312" w:hAnsi="仿宋_GB2312" w:cs="仿宋_GB2312" w:eastAsia="仿宋_GB2312"/>
                <w:sz w:val="20"/>
              </w:rPr>
              <w:t>建设单位：周至县城市管理和综合执法局</w:t>
            </w:r>
          </w:p>
          <w:p>
            <w:pPr>
              <w:pStyle w:val="null3"/>
              <w:spacing w:after="120"/>
              <w:jc w:val="both"/>
            </w:pPr>
            <w:r>
              <w:rPr>
                <w:rFonts w:ascii="仿宋_GB2312" w:hAnsi="仿宋_GB2312" w:cs="仿宋_GB2312" w:eastAsia="仿宋_GB2312"/>
                <w:sz w:val="20"/>
              </w:rPr>
              <w:t>工程范围及内容：本项目地点位于周至县县城新区南大街主干道西侧，项目</w:t>
            </w:r>
          </w:p>
          <w:p>
            <w:pPr>
              <w:pStyle w:val="null3"/>
              <w:spacing w:after="120"/>
              <w:jc w:val="both"/>
            </w:pPr>
            <w:r>
              <w:rPr>
                <w:rFonts w:ascii="仿宋_GB2312" w:hAnsi="仿宋_GB2312" w:cs="仿宋_GB2312" w:eastAsia="仿宋_GB2312"/>
                <w:sz w:val="20"/>
              </w:rPr>
              <w:t>总面积</w:t>
            </w:r>
            <w:r>
              <w:rPr>
                <w:rFonts w:ascii="仿宋_GB2312" w:hAnsi="仿宋_GB2312" w:cs="仿宋_GB2312" w:eastAsia="仿宋_GB2312"/>
                <w:sz w:val="20"/>
              </w:rPr>
              <w:t>1317㎡（约1.98亩）。由北向南从瑞光寺路至环城南路，长约70米，宽约</w:t>
            </w:r>
          </w:p>
          <w:p>
            <w:pPr>
              <w:pStyle w:val="null3"/>
              <w:spacing w:after="120"/>
              <w:jc w:val="both"/>
            </w:pPr>
            <w:r>
              <w:rPr>
                <w:rFonts w:ascii="仿宋_GB2312" w:hAnsi="仿宋_GB2312" w:cs="仿宋_GB2312" w:eastAsia="仿宋_GB2312"/>
                <w:sz w:val="20"/>
              </w:rPr>
              <w:t>21米。包括土方工程、铺装工程、绿化工程、健身器械1组，棋艺小桌1组，休闲</w:t>
            </w:r>
          </w:p>
          <w:p>
            <w:pPr>
              <w:pStyle w:val="null3"/>
              <w:spacing w:after="120"/>
              <w:jc w:val="both"/>
            </w:pPr>
            <w:r>
              <w:rPr>
                <w:rFonts w:ascii="仿宋_GB2312" w:hAnsi="仿宋_GB2312" w:cs="仿宋_GB2312" w:eastAsia="仿宋_GB2312"/>
                <w:sz w:val="20"/>
              </w:rPr>
              <w:t>坐凳</w:t>
            </w:r>
            <w:r>
              <w:rPr>
                <w:rFonts w:ascii="仿宋_GB2312" w:hAnsi="仿宋_GB2312" w:cs="仿宋_GB2312" w:eastAsia="仿宋_GB2312"/>
                <w:sz w:val="20"/>
              </w:rPr>
              <w:t>3组，休憩廊架，特色装饰等设施。</w:t>
            </w:r>
          </w:p>
          <w:p>
            <w:pPr>
              <w:pStyle w:val="null3"/>
              <w:spacing w:after="120"/>
              <w:jc w:val="both"/>
            </w:pPr>
            <w:r>
              <w:rPr>
                <w:rFonts w:ascii="仿宋_GB2312" w:hAnsi="仿宋_GB2312" w:cs="仿宋_GB2312" w:eastAsia="仿宋_GB2312"/>
                <w:sz w:val="20"/>
              </w:rPr>
              <w:t>二、编制依据</w:t>
            </w:r>
          </w:p>
          <w:p>
            <w:pPr>
              <w:pStyle w:val="null3"/>
              <w:spacing w:after="120"/>
              <w:jc w:val="both"/>
            </w:pPr>
            <w:r>
              <w:rPr>
                <w:rFonts w:ascii="仿宋_GB2312" w:hAnsi="仿宋_GB2312" w:cs="仿宋_GB2312" w:eastAsia="仿宋_GB2312"/>
                <w:sz w:val="20"/>
              </w:rPr>
              <w:t>1、县城新区南大街南段新建提升改造口袋公园项目相关图纸；</w:t>
            </w:r>
          </w:p>
          <w:p>
            <w:pPr>
              <w:pStyle w:val="null3"/>
              <w:spacing w:after="120"/>
              <w:jc w:val="both"/>
            </w:pPr>
            <w:r>
              <w:rPr>
                <w:rFonts w:ascii="仿宋_GB2312" w:hAnsi="仿宋_GB2312" w:cs="仿宋_GB2312" w:eastAsia="仿宋_GB2312"/>
                <w:sz w:val="20"/>
              </w:rPr>
              <w:t>2、《陕西省建设工程工程量清单计价标准》(DB61/T 5126 - 2025)；</w:t>
            </w:r>
          </w:p>
          <w:p>
            <w:pPr>
              <w:pStyle w:val="null3"/>
              <w:spacing w:after="120"/>
              <w:jc w:val="both"/>
            </w:pPr>
            <w:r>
              <w:rPr>
                <w:rFonts w:ascii="仿宋_GB2312" w:hAnsi="仿宋_GB2312" w:cs="仿宋_GB2312" w:eastAsia="仿宋_GB2312"/>
                <w:sz w:val="20"/>
              </w:rPr>
              <w:t>3、《市政工程工程量计算标准》（DB61/T 5128 - 2025）；</w:t>
            </w:r>
          </w:p>
          <w:p>
            <w:pPr>
              <w:pStyle w:val="null3"/>
              <w:spacing w:after="120"/>
              <w:jc w:val="both"/>
            </w:pPr>
            <w:r>
              <w:rPr>
                <w:rFonts w:ascii="仿宋_GB2312" w:hAnsi="仿宋_GB2312" w:cs="仿宋_GB2312" w:eastAsia="仿宋_GB2312"/>
                <w:sz w:val="20"/>
              </w:rPr>
              <w:t>4、《房屋建筑与装饰工程工程量计算标准》（DB61/T 5129 - 2025）；</w:t>
            </w:r>
          </w:p>
          <w:p>
            <w:pPr>
              <w:pStyle w:val="null3"/>
              <w:spacing w:after="120"/>
              <w:jc w:val="both"/>
            </w:pPr>
            <w:r>
              <w:rPr>
                <w:rFonts w:ascii="仿宋_GB2312" w:hAnsi="仿宋_GB2312" w:cs="仿宋_GB2312" w:eastAsia="仿宋_GB2312"/>
                <w:sz w:val="20"/>
              </w:rPr>
              <w:t>5、《通用安装工程工程量计算标准》（DB61/T 5130 - 2025）；</w:t>
            </w:r>
          </w:p>
          <w:p>
            <w:pPr>
              <w:pStyle w:val="null3"/>
              <w:spacing w:after="120"/>
              <w:jc w:val="both"/>
            </w:pPr>
            <w:r>
              <w:rPr>
                <w:rFonts w:ascii="仿宋_GB2312" w:hAnsi="仿宋_GB2312" w:cs="仿宋_GB2312" w:eastAsia="仿宋_GB2312"/>
                <w:sz w:val="20"/>
              </w:rPr>
              <w:t>6、《园林绿化工程工程量计算标准》（DB61/T 5131 - 2025）；</w:t>
            </w:r>
          </w:p>
          <w:p>
            <w:pPr>
              <w:pStyle w:val="null3"/>
              <w:spacing w:after="120"/>
              <w:jc w:val="both"/>
            </w:pPr>
            <w:r>
              <w:rPr>
                <w:rFonts w:ascii="仿宋_GB2312" w:hAnsi="仿宋_GB2312" w:cs="仿宋_GB2312" w:eastAsia="仿宋_GB2312"/>
                <w:sz w:val="20"/>
              </w:rPr>
              <w:t>7、《陕西省建设工程费用规则》（2025 版）；</w:t>
            </w:r>
          </w:p>
          <w:p>
            <w:pPr>
              <w:pStyle w:val="null3"/>
              <w:spacing w:after="120"/>
              <w:jc w:val="both"/>
            </w:pPr>
            <w:r>
              <w:rPr>
                <w:rFonts w:ascii="仿宋_GB2312" w:hAnsi="仿宋_GB2312" w:cs="仿宋_GB2312" w:eastAsia="仿宋_GB2312"/>
                <w:sz w:val="20"/>
              </w:rPr>
              <w:t>三、其他说明</w:t>
            </w:r>
          </w:p>
          <w:p>
            <w:pPr>
              <w:pStyle w:val="null3"/>
              <w:spacing w:after="120"/>
              <w:jc w:val="both"/>
            </w:pPr>
            <w:r>
              <w:rPr>
                <w:rFonts w:ascii="仿宋_GB2312" w:hAnsi="仿宋_GB2312" w:cs="仿宋_GB2312" w:eastAsia="仿宋_GB2312"/>
                <w:sz w:val="20"/>
              </w:rPr>
              <w:t>1、软件采用GCCP7.0，版本号7.5000.23.2；</w:t>
            </w:r>
          </w:p>
          <w:p>
            <w:pPr>
              <w:pStyle w:val="null3"/>
              <w:spacing w:after="120"/>
              <w:jc w:val="both"/>
            </w:pPr>
            <w:r>
              <w:rPr>
                <w:rFonts w:ascii="仿宋_GB2312" w:hAnsi="仿宋_GB2312" w:cs="仿宋_GB2312" w:eastAsia="仿宋_GB2312"/>
                <w:sz w:val="20"/>
              </w:rPr>
              <w:t>四、资金来源</w:t>
            </w:r>
          </w:p>
          <w:p>
            <w:pPr>
              <w:pStyle w:val="null3"/>
            </w:pPr>
            <w:r>
              <w:rPr>
                <w:rFonts w:ascii="仿宋_GB2312" w:hAnsi="仿宋_GB2312" w:cs="仿宋_GB2312" w:eastAsia="仿宋_GB2312"/>
                <w:sz w:val="20"/>
              </w:rPr>
              <w:t>本项目资金来源为财政资金；</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供应商需要在线提交所有通过电子化交易平台实施的政府采购项目的响应文件。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2022、2023、2024 任意一年度经审计的财务报告（至少包括审计报告、资产负债表和利润表，成立时间至提交投标文件截止时间不足一年的可提供成立后任意时段的资产负债表）或磋商前六个月内银行出具的资信证明或政府采购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具有独立承担民事责任的能力的企业法人、事业法人、其他组织或自然人，并出具合法有效的营业执照或事业单位法人证书等国家规定的相关证明，自然人参与的提供其身份证明。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2022、2023、2024 任意一年度经审计的财务报告（至少包括审计报告、资产负债表和利润表，成立时间至提交投标文件截止时间不足一年的可提供成立后任意时段的资产负债表）或磋商前六个月内银行出具的资信证明或政府采购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提交响应文件截止时间前一年内至少一个月的纳税证明或完税证明，纳税证明或完税证明上应有代收机构或税务机关的公章或业务专用章。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被列入中国执行信息公开网（http://zxgk.court.gov.cn）失信被执行人、信用中国（www.creditchina.gov.cn）违法税收黑名单、在中国政府采购网（www.ccgp.gov.cn）没有严重违法失信行为记录名单、以查询结果为准，提供网站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拟派项目负责人需具有园林绿化等相关专业中级及以上职称，且无在建项目；</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均符合磋商文件要求</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强制优先采购产品承诺函 响应文件封面 供应商应提交的相关资格证明材料.docx 项目管理机构组成表 主要人员简历表.docx 残疾人福利性单位声明函 报价函 标的清单 供应商类似项目业绩一览表 响应函 陕西省政府采购供应商拒绝政府采购领域商业贿赂承诺书.docx 供应商需要补充的其他内容.docx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均符合磋商文件要求</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强制优先采购产品承诺函 响应文件封面 供应商应提交的相关资格证明材料.docx 项目管理机构组成表 主要人员简历表.docx 残疾人福利性单位声明函 报价函 标的清单 供应商类似项目业绩一览表 响应函 陕西省政府采购供应商拒绝政府采购领域商业贿赂承诺书.docx 供应商需要补充的其他内容.docx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项目报价不超过其包段最高限价的金额</w:t>
            </w:r>
          </w:p>
        </w:tc>
        <w:tc>
          <w:tcPr>
            <w:tcW w:type="dxa" w:w="1661"/>
          </w:tcPr>
          <w:p>
            <w:pPr>
              <w:pStyle w:val="null3"/>
            </w:pPr>
            <w:r>
              <w:rPr>
                <w:rFonts w:ascii="仿宋_GB2312" w:hAnsi="仿宋_GB2312" w:cs="仿宋_GB2312" w:eastAsia="仿宋_GB2312"/>
              </w:rPr>
              <w:t>已标价工程量清单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一、评审内容：针对本项目编制完善的施工方案内容。内容包含但不限于：①工程重难点及解决措施②工程施工方法。 二、评审标准 1、完整性：方案必须全面，对评审内容中的各项要求有详细描述； 2、可实施性：切合本项目实际情况，提出步骤清晰、合理的方案；3、针对性：方案能够紧扣项目实际情况，内容科学合理。 三、赋分标准（满分12分） ①工程重难点及解决措施：每完全满足一个评审标准得2 分，满分6分；②工程施工方法：每完全满足一个评审标准得2 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一、评审内容：针对本项目编制完善的质量保证措施。内容包含但不限于：①质量目标管理体系②施工质量的检验制度③确保质量的技术组织措施④施工质量控制措施。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2、可实施性：切合本项目实际情况，提出步骤清晰、合理的方案；3、针对性：方案能够紧扣项目实际情况，内容科学合理。 三、赋分标准（满分12分） ①质量目标管理体系：每完全满足一个评审标准得1 分，满分3分；②施工质量的检验制度：每完全满足一个评审标准得1 分，满分3分；③确保质量的技术组织措施：每完全满足一个评审标准得1分，满分3分。④施工质量控制措施：每完全满足一个评审标准得1分，满分3分。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一、评审内容：针对本项目编制完善的安全文明施工 措施。内容包含但不限于：①安全生产管理制度②安全文明施工措施③安全应急预案④安全生产教育。 二、评审标准 1、完整性：方案必须全面，对评审内容中的各项要求有详细描述； 2、可实施性：切合本项目实际情况，提出步骤清晰、合理的方案；3、针对性：方案能够紧扣项目实际情况，内容科学合理。 三、赋分标准（满分12分） ①安全生产管理制度：每完全满足一个评审标准得1 分，满分3分；②安全文明施工措施：每完全满足一个评审标准得1 分，满分3分；③安全应急预案：每完全满足一个评审标准得1分，满分3分。④安全生产教育：每完全满足一个评审标准得1分，满分3分。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一、评审内容：针对本项目编制完善的针对本项目编制完善的应急措施方案。内容包含但不限于：①项目风险预测与防范，②应急预案。二、评审标准 1、完整性：方案必须全面，对评审内容中的各项要求有详细描述； 2、可实施性：切合本项目实际情况，提出步骤清晰、合理的方案；3、针对性：方案能够紧扣项目实际情况，内容科学合理。 三、赋分标准（满分12分）①项目风险预测与防范：每完全满足一个评审标准得2 分，满分6分；②应急预案：每完全满足一个评审标准得2分，满分6分；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一、评审内容：针对本项目编制完善的针对本项目编制完善的施工机械配备和材料投入计划。内容包含但不限于：①施工机械配备②材料投入计划 二、评审标准 1、完整性：方案必须全面，对评审内容中的各项要求有详细描述； 2、可实施性：切合本项目实际情况，提出步骤清晰、合理的方案；3、针对性：方案能够紧扣项目实际情况，内容科学合理。 三、赋分标准（满分6分）①施工机械配备：每完全满足一个评审标准得1 分，满分3分；②材料投入计划：每完全满足一个评审标准得1 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一、评审内容：针对本项目编制完善的针对本项目编制完善的服务方案。内容包含但不限于：①苗木栽植②修剪、中耕、除草③浇水、施肥④病除害防治二、评审标准 1、完整性：方案必须全面，对评审内容中的各项要求有详细描述； 2、可实施性：切合本项目实际情况，提出步骤清晰、合理的方案；3、针对性：方案能够紧扣项目实际情况，内容科学合理。 三、赋分标准（满分12分）①苗木栽植：每完全满足一个评审标准得1 分，满分3分；②修剪、中耕、除草：每完全满足一个评审标准得1 分，满分3分；③浇水、施肥：每完全满足一个评审标准得1 分，满分3分；④病除害防治：每完全满足一个评审标准得1 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供应商提供2020年01月01日至今的类似工程施工业绩（以中标（成交）通知书时间或合同签订时间为准），每一份计2分，计满4分为止（需提供中标（成交）通知书或合同复印件，未提供不得分）。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 的磋商报价为磋商基准价，其价格分为满分。其他供应商的价格分统一 按照下列公式计算： 磋商报价得分=(磋商基准价／磋商报价)×价格权值 ×100计算分数时四舍五入取小数点后两位。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详见附件：供应商需要补充的其他内容.docx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