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475007E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注：说明：</w:t>
      </w:r>
    </w:p>
    <w:p w14:paraId="23C63FF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1.本表只填写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文件有偏离（包括正偏离和负偏离）的内容，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文件中内容响应与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文件要求完全一致的，不用在此表中列出，但必须提交空白表加盖公章。</w:t>
      </w:r>
    </w:p>
    <w:p w14:paraId="788D7892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2.供应商必须据实填写，不得虚假响应，否则将取消其投标或中标资格，并按有关规定进处罚。</w:t>
      </w: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62DE6DE5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S</cp:lastModifiedBy>
  <dcterms:modified xsi:type="dcterms:W3CDTF">2025-12-25T14:47:34Z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eyJoZGlkIjoiMGRkZTFiM2FhMmM1ZDY5NDRjZjA5MjFlODk4OGViZTQiLCJ1c2VySWQiOiIyMzUwOTk3MDMifQ==</vt:lpwstr>
  </property>
  <property fmtid="{D5CDD505-2E9C-101B-9397-08002B2CF9AE}" pid="4" name="ICV">
    <vt:lpwstr>CBDEDDDB397942ABB1E8E0195A21CF2D_13</vt:lpwstr>
  </property>
</Properties>
</file>