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DC9D3">
      <w:pPr>
        <w:rPr>
          <w:b/>
          <w:sz w:val="24"/>
        </w:rPr>
      </w:pPr>
    </w:p>
    <w:p w14:paraId="2F34B099">
      <w:pPr>
        <w:spacing w:before="312" w:beforeLines="100" w:line="24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bookmarkStart w:id="0" w:name="_Toc480186059"/>
      <w:bookmarkStart w:id="1" w:name="_Toc480186121"/>
      <w:r>
        <w:rPr>
          <w:rFonts w:hint="eastAsia" w:ascii="黑体" w:hAnsi="宋体" w:eastAsia="黑体"/>
          <w:b/>
          <w:bCs/>
          <w:sz w:val="72"/>
          <w:szCs w:val="72"/>
        </w:rPr>
        <w:t>防潮验算计算书</w:t>
      </w:r>
      <w:bookmarkEnd w:id="0"/>
      <w:bookmarkEnd w:id="1"/>
    </w:p>
    <w:p w14:paraId="13679B40">
      <w:pPr>
        <w:spacing w:before="312" w:beforeLines="100" w:line="240" w:lineRule="atLeast"/>
        <w:jc w:val="center"/>
        <w:rPr>
          <w:rFonts w:ascii="宋体" w:hAnsi="宋体"/>
          <w:bCs/>
          <w:sz w:val="44"/>
          <w:szCs w:val="44"/>
        </w:rPr>
      </w:pPr>
      <w:bookmarkStart w:id="2" w:name="地区"/>
      <w:r>
        <w:rPr>
          <w:rFonts w:hint="eastAsia" w:ascii="宋体" w:hAnsi="宋体"/>
          <w:bCs/>
          <w:sz w:val="44"/>
          <w:szCs w:val="44"/>
        </w:rPr>
        <w:t>公共建筑</w:t>
      </w:r>
      <w:bookmarkEnd w:id="2"/>
    </w:p>
    <w:p w14:paraId="08BBAC89">
      <w:pPr>
        <w:spacing w:line="240" w:lineRule="atLeast"/>
        <w:jc w:val="center"/>
        <w:rPr>
          <w:rFonts w:ascii="宋体" w:hAnsi="宋体"/>
          <w:b/>
          <w:bCs/>
          <w:sz w:val="30"/>
          <w:szCs w:val="30"/>
        </w:rPr>
      </w:pPr>
    </w:p>
    <w:tbl>
      <w:tblPr>
        <w:tblStyle w:val="2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3A112F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22D6C5C9">
            <w:pPr>
              <w:pStyle w:val="16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246E6479">
            <w:pPr>
              <w:pStyle w:val="15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bookmarkStart w:id="3" w:name="项目名称"/>
            <w:r>
              <w:rPr>
                <w:rFonts w:hint="eastAsia" w:ascii="宋体" w:hAnsi="宋体"/>
                <w:sz w:val="21"/>
                <w:szCs w:val="21"/>
              </w:rPr>
              <w:t>周至县剧院改造提升项目</w:t>
            </w:r>
            <w:bookmarkEnd w:id="3"/>
          </w:p>
        </w:tc>
      </w:tr>
      <w:tr w14:paraId="360692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4049CF2B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6A9D77B7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4" w:name="地理位置"/>
            <w:r>
              <w:t>陕西-西安-周至</w:t>
            </w:r>
            <w:bookmarkEnd w:id="4"/>
          </w:p>
        </w:tc>
      </w:tr>
      <w:tr w14:paraId="4DFE4F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522BB5D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107AB1A9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5" w:name="设计编号"/>
            <w:r>
              <w:rPr>
                <w:rFonts w:hint="eastAsia" w:ascii="宋体" w:hAnsi="宋体"/>
                <w:szCs w:val="21"/>
              </w:rPr>
              <w:t>LYSX24015</w:t>
            </w:r>
            <w:bookmarkEnd w:id="5"/>
          </w:p>
        </w:tc>
      </w:tr>
      <w:tr w14:paraId="705F2C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0492AAB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01F6B3DF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6" w:name="建设单位"/>
            <w:r>
              <w:rPr>
                <w:rFonts w:hint="eastAsia" w:ascii="宋体" w:hAnsi="宋体"/>
                <w:szCs w:val="21"/>
              </w:rPr>
              <w:t>周至县文化和旅游体育局</w:t>
            </w:r>
            <w:bookmarkEnd w:id="6"/>
          </w:p>
        </w:tc>
      </w:tr>
      <w:tr w14:paraId="41BB58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E2812D6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32675883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7" w:name="设计单位"/>
            <w:r>
              <w:rPr>
                <w:rFonts w:hint="eastAsia" w:ascii="宋体" w:hAnsi="宋体"/>
                <w:szCs w:val="21"/>
              </w:rPr>
              <w:t>北京龙源科建建筑设计有限公司</w:t>
            </w:r>
            <w:bookmarkEnd w:id="7"/>
          </w:p>
        </w:tc>
      </w:tr>
      <w:tr w14:paraId="5073D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4B51624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 w14:paraId="0C3460D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412115" cy="173355"/>
                  <wp:effectExtent l="0" t="0" r="6985" b="17145"/>
                  <wp:docPr id="2" name="图片 2" descr="17468765680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74687656803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115" cy="173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D73B7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6C5D440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 w14:paraId="6E6C57DD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300990" cy="159385"/>
                  <wp:effectExtent l="0" t="0" r="3810" b="12065"/>
                  <wp:docPr id="5" name="图片 5" descr="17468765987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74687659879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0" cy="15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7540D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6B522592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 w14:paraId="49784DF8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352425" cy="173990"/>
                  <wp:effectExtent l="0" t="0" r="9525" b="16510"/>
                  <wp:docPr id="6" name="图片 6" descr="1746876633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74687663317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73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73" w:name="_GoBack"/>
            <w:bookmarkEnd w:id="73"/>
          </w:p>
        </w:tc>
      </w:tr>
      <w:tr w14:paraId="482F11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5E9F118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计算日期</w:t>
            </w:r>
          </w:p>
        </w:tc>
        <w:tc>
          <w:tcPr>
            <w:tcW w:w="3780" w:type="dxa"/>
          </w:tcPr>
          <w:p w14:paraId="17703F0A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8" w:name="报告日期"/>
            <w:r>
              <w:rPr>
                <w:rFonts w:hint="eastAsia" w:ascii="宋体" w:hAnsi="宋体"/>
                <w:szCs w:val="21"/>
              </w:rPr>
              <w:t>2024年10月19日</w:t>
            </w:r>
            <w:bookmarkEnd w:id="8"/>
          </w:p>
        </w:tc>
      </w:tr>
    </w:tbl>
    <w:p w14:paraId="50C66979">
      <w:pPr>
        <w:jc w:val="center"/>
        <w:rPr>
          <w:rFonts w:ascii="宋体" w:hAnsi="宋体"/>
          <w:sz w:val="18"/>
          <w:szCs w:val="18"/>
        </w:rPr>
      </w:pPr>
    </w:p>
    <w:p w14:paraId="66C92D4F">
      <w:pPr>
        <w:jc w:val="center"/>
        <w:rPr>
          <w:rFonts w:ascii="宋体" w:hAnsi="宋体"/>
          <w:b/>
          <w:bCs/>
          <w:sz w:val="18"/>
          <w:szCs w:val="18"/>
        </w:rPr>
      </w:pPr>
      <w:bookmarkStart w:id="9" w:name="二维码"/>
      <w:bookmarkEnd w:id="9"/>
      <w:r>
        <w:drawing>
          <wp:inline distT="0" distB="0" distL="0" distR="0">
            <wp:extent cx="1514475" cy="1514475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25B48">
      <w:pPr>
        <w:jc w:val="center"/>
        <w:rPr>
          <w:rFonts w:ascii="宋体" w:hAnsi="宋体"/>
          <w:b/>
          <w:bCs/>
          <w:sz w:val="18"/>
          <w:szCs w:val="18"/>
        </w:rPr>
      </w:pPr>
    </w:p>
    <w:tbl>
      <w:tblPr>
        <w:tblStyle w:val="20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38A691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4EDC0E2F">
            <w:pPr>
              <w:pStyle w:val="16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6B18FCC9">
            <w:pPr>
              <w:pStyle w:val="16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bookmarkStart w:id="10" w:name="软件全称"/>
            <w:r>
              <w:t>斯维尔节能设计Becs2023</w:t>
            </w:r>
            <w:bookmarkEnd w:id="10"/>
          </w:p>
        </w:tc>
      </w:tr>
      <w:tr w14:paraId="72E8BF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6926A7F1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0B05A71D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1" w:name="软件版本"/>
            <w:r>
              <w:rPr>
                <w:rFonts w:hint="eastAsia" w:ascii="宋体" w:hAnsi="宋体"/>
                <w:szCs w:val="18"/>
              </w:rPr>
              <w:t>20220909</w:t>
            </w:r>
            <w:bookmarkEnd w:id="11"/>
          </w:p>
        </w:tc>
      </w:tr>
      <w:tr w14:paraId="64591E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1800" w:type="dxa"/>
            <w:shd w:val="clear" w:color="auto" w:fill="E6E6E6"/>
            <w:vAlign w:val="center"/>
          </w:tcPr>
          <w:p w14:paraId="6614F080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4C5B4454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cs="宋体"/>
                <w:szCs w:val="18"/>
                <w:lang w:val="zh-CN"/>
              </w:rPr>
              <w:t>北京绿建软件股份有限公司</w:t>
            </w:r>
          </w:p>
        </w:tc>
      </w:tr>
      <w:tr w14:paraId="2D5EE9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49F732B0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2B606DBE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2" w:name="加密锁号"/>
            <w:r>
              <w:rPr>
                <w:rFonts w:hint="eastAsia" w:ascii="宋体" w:hAnsi="宋体"/>
                <w:szCs w:val="18"/>
              </w:rPr>
              <w:t>S01625BA0</w:t>
            </w:r>
            <w:bookmarkEnd w:id="12"/>
          </w:p>
        </w:tc>
      </w:tr>
    </w:tbl>
    <w:p w14:paraId="2D3AD294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 xml:space="preserve"> </w:t>
      </w:r>
    </w:p>
    <w:p w14:paraId="44AD5174">
      <w:pPr>
        <w:jc w:val="center"/>
        <w:rPr>
          <w:b/>
          <w:sz w:val="24"/>
        </w:rPr>
      </w:pPr>
    </w:p>
    <w:p w14:paraId="481AB93D">
      <w:pPr>
        <w:jc w:val="center"/>
        <w:rPr>
          <w:b/>
          <w:sz w:val="24"/>
        </w:rPr>
      </w:pPr>
    </w:p>
    <w:p w14:paraId="44413ACB">
      <w:pPr>
        <w:jc w:val="center"/>
        <w:rPr>
          <w:b/>
          <w:sz w:val="24"/>
        </w:rPr>
      </w:pPr>
    </w:p>
    <w:p w14:paraId="15794B3A">
      <w:pPr>
        <w:jc w:val="center"/>
        <w:rPr>
          <w:b/>
          <w:sz w:val="24"/>
        </w:rPr>
      </w:pPr>
    </w:p>
    <w:p w14:paraId="69479C80">
      <w:pPr>
        <w:jc w:val="center"/>
        <w:rPr>
          <w:b/>
          <w:sz w:val="24"/>
        </w:rPr>
      </w:pPr>
    </w:p>
    <w:p w14:paraId="7B4BCFAF">
      <w:pPr>
        <w:widowControl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14:paraId="266B7013">
      <w:pPr>
        <w:spacing w:line="24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目  录</w:t>
      </w:r>
    </w:p>
    <w:p w14:paraId="02B75A5A">
      <w:pPr>
        <w:pStyle w:val="17"/>
        <w:tabs>
          <w:tab w:val="left" w:pos="420"/>
          <w:tab w:val="right" w:leader="dot" w:pos="9010"/>
        </w:tabs>
      </w:pPr>
    </w:p>
    <w:p w14:paraId="4F11F32E"/>
    <w:p w14:paraId="28A82738">
      <w:pPr>
        <w:pStyle w:val="17"/>
        <w:tabs>
          <w:tab w:val="right" w:leader="dot" w:pos="9026"/>
        </w:tabs>
      </w:pPr>
      <w:bookmarkStart w:id="13" w:name="目录"/>
      <w:r>
        <w:fldChar w:fldCharType="begin"/>
      </w:r>
      <w: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 HYPERLINK \l _Toc31476 </w:instrText>
      </w:r>
      <w:r>
        <w:fldChar w:fldCharType="separate"/>
      </w:r>
      <w:r>
        <w:t xml:space="preserve">1 </w:t>
      </w:r>
      <w:r>
        <w:rPr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_Toc31476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49C3E533">
      <w:pPr>
        <w:pStyle w:val="17"/>
        <w:tabs>
          <w:tab w:val="right" w:leader="dot" w:pos="9026"/>
        </w:tabs>
      </w:pPr>
      <w:r>
        <w:fldChar w:fldCharType="begin"/>
      </w:r>
      <w:r>
        <w:instrText xml:space="preserve"> HYPERLINK \l _Toc13795 </w:instrText>
      </w:r>
      <w:r>
        <w:fldChar w:fldCharType="separate"/>
      </w:r>
      <w:r>
        <w:t xml:space="preserve">2 </w:t>
      </w:r>
      <w:r>
        <w:rPr>
          <w:rFonts w:hint="eastAsia"/>
        </w:rPr>
        <w:t>评价依据</w:t>
      </w:r>
      <w:r>
        <w:tab/>
      </w:r>
      <w:r>
        <w:fldChar w:fldCharType="begin"/>
      </w:r>
      <w:r>
        <w:instrText xml:space="preserve"> PAGEREF _Toc13795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7320AABC">
      <w:pPr>
        <w:pStyle w:val="18"/>
        <w:tabs>
          <w:tab w:val="right" w:leader="dot" w:pos="9026"/>
        </w:tabs>
      </w:pPr>
      <w:r>
        <w:fldChar w:fldCharType="begin"/>
      </w:r>
      <w:r>
        <w:instrText xml:space="preserve"> HYPERLINK \l _Toc10900 </w:instrText>
      </w:r>
      <w:r>
        <w:fldChar w:fldCharType="separate"/>
      </w:r>
      <w:r>
        <w:rPr>
          <w:kern w:val="2"/>
          <w:lang w:val="en-GB"/>
        </w:rPr>
        <w:t xml:space="preserve">2.1 </w:t>
      </w:r>
      <w:r>
        <w:rPr>
          <w:rFonts w:hint="eastAsia"/>
          <w:kern w:val="2"/>
        </w:rPr>
        <w:t>评价目标</w:t>
      </w:r>
      <w:r>
        <w:tab/>
      </w:r>
      <w:r>
        <w:fldChar w:fldCharType="begin"/>
      </w:r>
      <w:r>
        <w:instrText xml:space="preserve"> PAGEREF _Toc10900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623D3B8B">
      <w:pPr>
        <w:pStyle w:val="18"/>
        <w:tabs>
          <w:tab w:val="right" w:leader="dot" w:pos="9026"/>
        </w:tabs>
      </w:pPr>
      <w:r>
        <w:fldChar w:fldCharType="begin"/>
      </w:r>
      <w:r>
        <w:instrText xml:space="preserve"> HYPERLINK \l _Toc118 </w:instrText>
      </w:r>
      <w:r>
        <w:fldChar w:fldCharType="separate"/>
      </w:r>
      <w:r>
        <w:rPr>
          <w:kern w:val="2"/>
          <w:lang w:val="en-GB"/>
        </w:rPr>
        <w:t xml:space="preserve">2.2 </w:t>
      </w:r>
      <w:r>
        <w:rPr>
          <w:rFonts w:hint="eastAsia"/>
          <w:kern w:val="2"/>
        </w:rPr>
        <w:t>评价方法</w:t>
      </w:r>
      <w:r>
        <w:tab/>
      </w:r>
      <w:r>
        <w:fldChar w:fldCharType="begin"/>
      </w:r>
      <w:r>
        <w:instrText xml:space="preserve"> PAGEREF _Toc118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0AEA21FC">
      <w:pPr>
        <w:pStyle w:val="17"/>
        <w:tabs>
          <w:tab w:val="right" w:leader="dot" w:pos="9026"/>
        </w:tabs>
      </w:pPr>
      <w:r>
        <w:fldChar w:fldCharType="begin"/>
      </w:r>
      <w:r>
        <w:instrText xml:space="preserve"> HYPERLINK \l _Toc13728 </w:instrText>
      </w:r>
      <w:r>
        <w:fldChar w:fldCharType="separate"/>
      </w:r>
      <w:r>
        <w:t xml:space="preserve">3 </w:t>
      </w:r>
      <w:r>
        <w:rPr>
          <w:rFonts w:hint="eastAsia"/>
        </w:rPr>
        <w:t>防潮验算</w:t>
      </w:r>
      <w:r>
        <w:t>计算过程</w:t>
      </w:r>
      <w:r>
        <w:tab/>
      </w:r>
      <w:r>
        <w:fldChar w:fldCharType="begin"/>
      </w:r>
      <w:r>
        <w:instrText xml:space="preserve"> PAGEREF _Toc13728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DA43C03">
      <w:pPr>
        <w:pStyle w:val="18"/>
        <w:tabs>
          <w:tab w:val="right" w:leader="dot" w:pos="9026"/>
        </w:tabs>
      </w:pPr>
      <w:r>
        <w:fldChar w:fldCharType="begin"/>
      </w:r>
      <w:r>
        <w:instrText xml:space="preserve"> HYPERLINK \l _Toc14752 </w:instrText>
      </w:r>
      <w:r>
        <w:fldChar w:fldCharType="separate"/>
      </w:r>
      <w:r>
        <w:rPr>
          <w:kern w:val="2"/>
          <w:lang w:val="en-GB"/>
        </w:rPr>
        <w:t xml:space="preserve">3.1 </w:t>
      </w:r>
      <w:r>
        <w:rPr>
          <w:rFonts w:hint="eastAsia"/>
          <w:kern w:val="2"/>
        </w:rPr>
        <w:t>计算条件</w:t>
      </w:r>
      <w:r>
        <w:tab/>
      </w:r>
      <w:r>
        <w:fldChar w:fldCharType="begin"/>
      </w:r>
      <w:r>
        <w:instrText xml:space="preserve"> PAGEREF _Toc14752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C52B6FF">
      <w:pPr>
        <w:pStyle w:val="18"/>
        <w:tabs>
          <w:tab w:val="right" w:leader="dot" w:pos="9026"/>
        </w:tabs>
      </w:pPr>
      <w:r>
        <w:fldChar w:fldCharType="begin"/>
      </w:r>
      <w:r>
        <w:instrText xml:space="preserve"> HYPERLINK \l _Toc11097 </w:instrText>
      </w:r>
      <w:r>
        <w:fldChar w:fldCharType="separate"/>
      </w:r>
      <w:r>
        <w:rPr>
          <w:kern w:val="2"/>
          <w:lang w:val="en-GB"/>
        </w:rPr>
        <w:t xml:space="preserve">3.2 </w:t>
      </w:r>
      <w:r>
        <w:rPr>
          <w:rFonts w:hint="eastAsia"/>
          <w:kern w:val="2"/>
        </w:rPr>
        <w:t>屋顶构造一</w:t>
      </w:r>
      <w:r>
        <w:tab/>
      </w:r>
      <w:r>
        <w:fldChar w:fldCharType="begin"/>
      </w:r>
      <w:r>
        <w:instrText xml:space="preserve"> PAGEREF _Toc11097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2BCC1E7">
      <w:pPr>
        <w:pStyle w:val="13"/>
        <w:tabs>
          <w:tab w:val="right" w:leader="dot" w:pos="9026"/>
        </w:tabs>
      </w:pPr>
      <w:r>
        <w:fldChar w:fldCharType="begin"/>
      </w:r>
      <w:r>
        <w:instrText xml:space="preserve"> HYPERLINK \l _Toc25708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3.2.1 </w:t>
      </w:r>
      <w:r>
        <w:rPr>
          <w:rFonts w:hint="eastAsia"/>
        </w:rPr>
        <w:t>冷凝计算界面至围护结构内表面之间的热阻</w:t>
      </w:r>
      <w:r>
        <w:object>
          <v:shape id="_x0000_i1025" o:spt="75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tab/>
      </w:r>
      <w:r>
        <w:fldChar w:fldCharType="begin"/>
      </w:r>
      <w:r>
        <w:instrText xml:space="preserve"> PAGEREF _Toc25708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76ADB34">
      <w:pPr>
        <w:pStyle w:val="13"/>
        <w:tabs>
          <w:tab w:val="right" w:leader="dot" w:pos="9026"/>
        </w:tabs>
      </w:pPr>
      <w:r>
        <w:fldChar w:fldCharType="begin"/>
      </w:r>
      <w:r>
        <w:instrText xml:space="preserve"> HYPERLINK \l _Toc14376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3.2.2 </w:t>
      </w:r>
      <w:r>
        <w:rPr>
          <w:rFonts w:hint="eastAsia"/>
        </w:rPr>
        <w:t>冷凝计算界面温度</w:t>
      </w:r>
      <w:r>
        <w:rPr>
          <w:position w:val="-6"/>
        </w:rPr>
        <w:object>
          <v:shape id="_x0000_i1026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tab/>
      </w:r>
      <w:r>
        <w:fldChar w:fldCharType="begin"/>
      </w:r>
      <w:r>
        <w:instrText xml:space="preserve"> PAGEREF _Toc14376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1CD1E0D">
      <w:pPr>
        <w:pStyle w:val="13"/>
        <w:tabs>
          <w:tab w:val="right" w:leader="dot" w:pos="9026"/>
        </w:tabs>
      </w:pPr>
      <w:r>
        <w:fldChar w:fldCharType="begin"/>
      </w:r>
      <w:r>
        <w:instrText xml:space="preserve"> HYPERLINK \l _Toc777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3.2.3 </w:t>
      </w:r>
      <w:r>
        <w:rPr>
          <w:rFonts w:hint="eastAsia"/>
          <w:bCs w:val="0"/>
        </w:rPr>
        <w:t>围护结构冷凝受潮验算</w:t>
      </w:r>
      <w:r>
        <w:tab/>
      </w:r>
      <w:r>
        <w:fldChar w:fldCharType="begin"/>
      </w:r>
      <w:r>
        <w:instrText xml:space="preserve"> PAGEREF _Toc777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8A4BE31">
      <w:pPr>
        <w:pStyle w:val="17"/>
        <w:tabs>
          <w:tab w:val="right" w:leader="dot" w:pos="9026"/>
        </w:tabs>
      </w:pPr>
      <w:r>
        <w:fldChar w:fldCharType="begin"/>
      </w:r>
      <w:r>
        <w:instrText xml:space="preserve"> HYPERLINK \l _Toc18265 </w:instrText>
      </w:r>
      <w:r>
        <w:fldChar w:fldCharType="separate"/>
      </w:r>
      <w:r>
        <w:t>4 验算结论</w:t>
      </w:r>
      <w:r>
        <w:tab/>
      </w:r>
      <w:r>
        <w:fldChar w:fldCharType="begin"/>
      </w:r>
      <w:r>
        <w:instrText xml:space="preserve"> PAGEREF _Toc18265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4AB199E8">
      <w:r>
        <w:fldChar w:fldCharType="end"/>
      </w:r>
      <w:bookmarkEnd w:id="13"/>
    </w:p>
    <w:p w14:paraId="1A6A3C6A">
      <w:pPr>
        <w:pStyle w:val="16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rPr>
          <w:rFonts w:ascii="宋体" w:hAnsi="宋体"/>
          <w:szCs w:val="20"/>
        </w:rPr>
      </w:pPr>
    </w:p>
    <w:p w14:paraId="789C6DE5">
      <w:pPr>
        <w:pStyle w:val="16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jc w:val="both"/>
        <w:rPr>
          <w:rFonts w:ascii="宋体" w:hAnsi="宋体"/>
          <w:szCs w:val="20"/>
        </w:rPr>
      </w:pPr>
      <w:r>
        <w:rPr>
          <w:rFonts w:ascii="宋体" w:hAnsi="宋体"/>
          <w:szCs w:val="20"/>
        </w:rPr>
        <w:br w:type="page"/>
      </w:r>
    </w:p>
    <w:p w14:paraId="2430DDA8">
      <w:pPr>
        <w:pStyle w:val="2"/>
        <w:spacing w:line="240" w:lineRule="atLeast"/>
      </w:pPr>
      <w:bookmarkStart w:id="14" w:name="_Toc316568035"/>
      <w:bookmarkStart w:id="15" w:name="_Toc480186060"/>
      <w:bookmarkStart w:id="16" w:name="_Toc480186122"/>
      <w:bookmarkStart w:id="17" w:name="_Toc480218444"/>
      <w:bookmarkStart w:id="18" w:name="_Toc31476"/>
      <w:r>
        <w:rPr>
          <w:rFonts w:hint="eastAsia"/>
        </w:rPr>
        <w:t>建筑概况</w:t>
      </w:r>
      <w:bookmarkEnd w:id="14"/>
      <w:bookmarkEnd w:id="15"/>
      <w:bookmarkEnd w:id="16"/>
      <w:bookmarkEnd w:id="17"/>
      <w:bookmarkEnd w:id="18"/>
    </w:p>
    <w:tbl>
      <w:tblPr>
        <w:tblStyle w:val="20"/>
        <w:tblW w:w="488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9"/>
        <w:gridCol w:w="3115"/>
        <w:gridCol w:w="3115"/>
      </w:tblGrid>
      <w:tr w14:paraId="6D18DE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01B44C6D">
            <w:pPr>
              <w:spacing w:line="240" w:lineRule="atLeast"/>
            </w:pPr>
            <w:bookmarkStart w:id="19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064" w:type="dxa"/>
            <w:gridSpan w:val="2"/>
            <w:shd w:val="clear" w:color="auto" w:fill="auto"/>
          </w:tcPr>
          <w:p w14:paraId="7CE4B5A1">
            <w:pPr>
              <w:spacing w:line="240" w:lineRule="atLeast"/>
            </w:pPr>
            <w:bookmarkStart w:id="20" w:name="工程名称"/>
            <w:r>
              <w:t>周至县剧院改造提升项目</w:t>
            </w:r>
            <w:bookmarkEnd w:id="20"/>
          </w:p>
        </w:tc>
      </w:tr>
      <w:tr w14:paraId="009781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6E2FB0A1"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064" w:type="dxa"/>
            <w:gridSpan w:val="2"/>
            <w:shd w:val="clear" w:color="auto" w:fill="auto"/>
          </w:tcPr>
          <w:p w14:paraId="36980228">
            <w:pPr>
              <w:spacing w:line="240" w:lineRule="atLeast"/>
            </w:pPr>
            <w:bookmarkStart w:id="21" w:name="工程地点"/>
            <w:r>
              <w:t>陕西-西安-周至</w:t>
            </w:r>
            <w:bookmarkEnd w:id="21"/>
          </w:p>
        </w:tc>
      </w:tr>
      <w:tr w14:paraId="088D54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4F41F5EE">
            <w:pPr>
              <w:spacing w:line="240" w:lineRule="atLeast"/>
            </w:pPr>
            <w:r>
              <w:rPr>
                <w:rFonts w:hint="eastAsia"/>
              </w:rPr>
              <w:t>地理</w:t>
            </w:r>
            <w:r>
              <w:t>位置</w:t>
            </w:r>
          </w:p>
        </w:tc>
        <w:tc>
          <w:tcPr>
            <w:tcW w:w="3032" w:type="dxa"/>
            <w:shd w:val="clear" w:color="auto" w:fill="auto"/>
          </w:tcPr>
          <w:p w14:paraId="3084799D">
            <w:pPr>
              <w:spacing w:line="240" w:lineRule="atLeast"/>
            </w:pPr>
            <w:r>
              <w:rPr>
                <w:rFonts w:hint="eastAsia" w:ascii="宋体" w:hAnsi="宋体"/>
              </w:rPr>
              <w:t>北纬：</w:t>
            </w:r>
            <w:bookmarkStart w:id="22" w:name="纬度"/>
            <w:r>
              <w:rPr>
                <w:rFonts w:hint="eastAsia"/>
              </w:rPr>
              <w:t>34.16</w:t>
            </w:r>
            <w:bookmarkEnd w:id="22"/>
            <w:r>
              <w:rPr>
                <w:rFonts w:hint="eastAsia" w:ascii="宋体" w:hAnsi="宋体"/>
              </w:rPr>
              <w:t>°</w:t>
            </w:r>
          </w:p>
        </w:tc>
        <w:tc>
          <w:tcPr>
            <w:tcW w:w="3032" w:type="dxa"/>
            <w:shd w:val="clear" w:color="auto" w:fill="auto"/>
          </w:tcPr>
          <w:p w14:paraId="653A4C48">
            <w:pPr>
              <w:spacing w:line="240" w:lineRule="atLeast"/>
            </w:pPr>
            <w:r>
              <w:rPr>
                <w:rFonts w:hint="eastAsia" w:ascii="宋体" w:hAnsi="宋体"/>
              </w:rPr>
              <w:t>东经：</w:t>
            </w:r>
            <w:bookmarkStart w:id="23" w:name="经度"/>
            <w:r>
              <w:rPr>
                <w:rFonts w:hint="eastAsia"/>
              </w:rPr>
              <w:t>108.22</w:t>
            </w:r>
            <w:bookmarkEnd w:id="23"/>
            <w:r>
              <w:rPr>
                <w:rFonts w:hint="eastAsia" w:ascii="宋体" w:hAnsi="宋体"/>
              </w:rPr>
              <w:t>°</w:t>
            </w:r>
          </w:p>
        </w:tc>
      </w:tr>
      <w:tr w14:paraId="1915DB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30F367BF"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064" w:type="dxa"/>
            <w:gridSpan w:val="2"/>
            <w:shd w:val="clear" w:color="auto" w:fill="auto"/>
          </w:tcPr>
          <w:p w14:paraId="04DFCF06">
            <w:pPr>
              <w:spacing w:line="240" w:lineRule="atLeast"/>
            </w:pPr>
            <w:bookmarkStart w:id="24" w:name="气候分区"/>
            <w:r>
              <w:t>寒冷B区</w:t>
            </w:r>
            <w:bookmarkEnd w:id="24"/>
          </w:p>
        </w:tc>
      </w:tr>
      <w:tr w14:paraId="7062E2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768C815A"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064" w:type="dxa"/>
            <w:gridSpan w:val="2"/>
            <w:shd w:val="clear" w:color="auto" w:fill="auto"/>
          </w:tcPr>
          <w:p w14:paraId="074B575B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r>
              <w:rPr>
                <w:rFonts w:hint="eastAsia"/>
                <w:lang w:val="en-US" w:eastAsia="zh-CN"/>
              </w:rPr>
              <w:t>2516</w:t>
            </w:r>
            <w:r>
              <w:rPr>
                <w:rFonts w:hint="eastAsia"/>
              </w:rPr>
              <w:t xml:space="preserve">㎡ </w:t>
            </w:r>
          </w:p>
        </w:tc>
      </w:tr>
      <w:tr w14:paraId="47B3F3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1C9FC00D"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064" w:type="dxa"/>
            <w:gridSpan w:val="2"/>
            <w:shd w:val="clear" w:color="auto" w:fill="auto"/>
          </w:tcPr>
          <w:p w14:paraId="37977017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        </w:t>
            </w:r>
          </w:p>
        </w:tc>
      </w:tr>
      <w:tr w14:paraId="7FDC50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5D830B7C"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064" w:type="dxa"/>
            <w:gridSpan w:val="2"/>
            <w:shd w:val="clear" w:color="auto" w:fill="auto"/>
          </w:tcPr>
          <w:p w14:paraId="075C6D5D">
            <w:pPr>
              <w:spacing w:line="240" w:lineRule="atLeast"/>
            </w:pPr>
            <w:r>
              <w:rPr>
                <w:rFonts w:hint="eastAsia"/>
                <w:lang w:val="en-US" w:eastAsia="zh-CN"/>
              </w:rPr>
              <w:t>21.23</w:t>
            </w:r>
            <w:r>
              <w:rPr>
                <w:rFonts w:hint="eastAsia"/>
              </w:rPr>
              <w:t>m</w:t>
            </w:r>
          </w:p>
        </w:tc>
      </w:tr>
      <w:tr w14:paraId="1A8036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41F785DF"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064" w:type="dxa"/>
            <w:gridSpan w:val="2"/>
            <w:shd w:val="clear" w:color="auto" w:fill="auto"/>
          </w:tcPr>
          <w:p w14:paraId="4FD787C3">
            <w:pPr>
              <w:spacing w:line="240" w:lineRule="atLeast"/>
            </w:pPr>
            <w:bookmarkStart w:id="25" w:name="结构类型"/>
            <w:bookmarkEnd w:id="25"/>
          </w:p>
        </w:tc>
      </w:tr>
      <w:bookmarkEnd w:id="19"/>
    </w:tbl>
    <w:p w14:paraId="43AB6398">
      <w:pPr>
        <w:rPr>
          <w:b/>
          <w:sz w:val="24"/>
        </w:rPr>
      </w:pPr>
    </w:p>
    <w:p w14:paraId="211892BD">
      <w:pPr>
        <w:pStyle w:val="2"/>
        <w:spacing w:line="240" w:lineRule="atLeast"/>
      </w:pPr>
      <w:bookmarkStart w:id="26" w:name="_Toc316568036"/>
      <w:bookmarkStart w:id="27" w:name="_Toc480186061"/>
      <w:bookmarkStart w:id="28" w:name="_Toc13795"/>
      <w:bookmarkStart w:id="29" w:name="_Toc480218445"/>
      <w:bookmarkStart w:id="30" w:name="_Toc480186123"/>
      <w:bookmarkStart w:id="31" w:name="TitleFormat"/>
      <w:r>
        <w:rPr>
          <w:rFonts w:hint="eastAsia"/>
        </w:rPr>
        <w:t>评价依据</w:t>
      </w:r>
      <w:bookmarkEnd w:id="26"/>
      <w:bookmarkEnd w:id="27"/>
      <w:bookmarkEnd w:id="28"/>
      <w:bookmarkEnd w:id="29"/>
      <w:bookmarkEnd w:id="30"/>
    </w:p>
    <w:bookmarkEnd w:id="31"/>
    <w:p w14:paraId="370FEC8D">
      <w:r>
        <w:rPr>
          <w:rFonts w:hint="eastAsia"/>
        </w:rPr>
        <w:t xml:space="preserve">1. </w:t>
      </w:r>
      <w:bookmarkStart w:id="32" w:name="标准名称"/>
      <w:r>
        <w:rPr>
          <w:rFonts w:hint="eastAsia"/>
        </w:rPr>
        <w:t>《建筑节能与可再生能源利用通用规范》GB55015-2021</w:t>
      </w:r>
      <w:bookmarkEnd w:id="32"/>
    </w:p>
    <w:p w14:paraId="78F2B509">
      <w:r>
        <w:rPr>
          <w:rFonts w:hint="eastAsia"/>
        </w:rPr>
        <w:t>2. 《建筑环境通用规范》GB</w:t>
      </w:r>
      <w:r>
        <w:t xml:space="preserve"> 55016-2021</w:t>
      </w:r>
    </w:p>
    <w:p w14:paraId="410FED77">
      <w:r>
        <w:rPr>
          <w:rFonts w:hint="eastAsia"/>
        </w:rPr>
        <w:t>3. 《民用建筑热工设计规范》GB50176</w:t>
      </w:r>
      <w:r>
        <w:t>-2016</w:t>
      </w:r>
    </w:p>
    <w:p w14:paraId="1B15B950">
      <w:r>
        <w:t>4</w:t>
      </w:r>
      <w:r>
        <w:rPr>
          <w:rFonts w:hint="eastAsia"/>
        </w:rPr>
        <w:t>.  施工图、设计说明、墙身大样图、节能计算书</w:t>
      </w:r>
    </w:p>
    <w:p w14:paraId="33CFC6BF">
      <w:pPr>
        <w:pStyle w:val="41"/>
        <w:spacing w:line="240" w:lineRule="atLeast"/>
        <w:ind w:left="420" w:firstLine="0" w:firstLineChars="0"/>
      </w:pPr>
    </w:p>
    <w:p w14:paraId="45085219">
      <w:pPr>
        <w:pStyle w:val="4"/>
        <w:spacing w:line="240" w:lineRule="atLeast"/>
        <w:rPr>
          <w:kern w:val="2"/>
        </w:rPr>
      </w:pPr>
      <w:bookmarkStart w:id="33" w:name="_Toc480186062"/>
      <w:bookmarkStart w:id="34" w:name="_Toc480218446"/>
      <w:bookmarkStart w:id="35" w:name="_Toc10900"/>
      <w:bookmarkStart w:id="36" w:name="_Toc480186124"/>
      <w:r>
        <w:rPr>
          <w:rFonts w:hint="eastAsia"/>
          <w:kern w:val="2"/>
        </w:rPr>
        <w:t>评价目标</w:t>
      </w:r>
      <w:bookmarkEnd w:id="33"/>
      <w:bookmarkEnd w:id="34"/>
      <w:bookmarkEnd w:id="35"/>
      <w:bookmarkEnd w:id="36"/>
    </w:p>
    <w:p w14:paraId="6B425236">
      <w:pPr>
        <w:pStyle w:val="41"/>
      </w:pPr>
      <w:r>
        <w:t>依据《</w:t>
      </w:r>
      <w:r>
        <w:rPr>
          <w:rFonts w:hint="eastAsia"/>
        </w:rPr>
        <w:t>建筑环境通用规范》GB</w:t>
      </w:r>
      <w:r>
        <w:t xml:space="preserve"> 55016</w:t>
      </w:r>
      <w:r>
        <w:rPr>
          <w:rFonts w:hint="eastAsia"/>
        </w:rPr>
        <w:t>-</w:t>
      </w:r>
      <w:r>
        <w:t xml:space="preserve">2021 </w:t>
      </w:r>
      <w:r>
        <w:rPr>
          <w:b/>
          <w:bCs/>
        </w:rPr>
        <w:t>4.4.3</w:t>
      </w:r>
      <w:r>
        <w:rPr>
          <w:rFonts w:hint="eastAsia"/>
        </w:rPr>
        <w:t>条：供暖</w:t>
      </w:r>
      <w:r>
        <w:t>期间，</w:t>
      </w:r>
      <w:r>
        <w:rPr>
          <w:rFonts w:hint="eastAsia"/>
        </w:rPr>
        <w:t>围护结构</w:t>
      </w:r>
      <w:r>
        <w:t>中保温材料因内部冷凝受潮而增加的重量</w:t>
      </w:r>
      <w:r>
        <w:rPr>
          <w:rFonts w:hint="eastAsia"/>
        </w:rPr>
        <w:t>湿度允许增量，应符合要求；</w:t>
      </w:r>
      <w:r>
        <w:t>相应冷凝计算界面内侧最小蒸汽渗透阻应大于按</w:t>
      </w:r>
      <w:r>
        <w:rPr>
          <w:rFonts w:hint="eastAsia"/>
        </w:rPr>
        <w:t>式（3.2-1）计算</w:t>
      </w:r>
      <w:r>
        <w:t>的蒸汽渗透阻</w:t>
      </w:r>
      <w:r>
        <w:rPr>
          <w:rFonts w:hint="eastAsia"/>
        </w:rPr>
        <w:t>。</w:t>
      </w:r>
    </w:p>
    <w:p w14:paraId="6ABA36A0">
      <w:pPr>
        <w:pStyle w:val="4"/>
        <w:spacing w:line="240" w:lineRule="atLeast"/>
        <w:rPr>
          <w:kern w:val="2"/>
        </w:rPr>
      </w:pPr>
      <w:bookmarkStart w:id="37" w:name="_Toc480186125"/>
      <w:bookmarkStart w:id="38" w:name="_Toc479931706"/>
      <w:bookmarkStart w:id="39" w:name="_Toc480186063"/>
      <w:bookmarkStart w:id="40" w:name="_Toc118"/>
      <w:bookmarkStart w:id="41" w:name="_Toc480218447"/>
      <w:r>
        <w:rPr>
          <w:rFonts w:hint="eastAsia"/>
          <w:kern w:val="2"/>
        </w:rPr>
        <w:t>评价方法</w:t>
      </w:r>
      <w:bookmarkEnd w:id="37"/>
      <w:bookmarkEnd w:id="38"/>
      <w:bookmarkEnd w:id="39"/>
      <w:bookmarkEnd w:id="40"/>
      <w:bookmarkEnd w:id="41"/>
    </w:p>
    <w:p w14:paraId="04CE8CDE">
      <w:pPr>
        <w:pStyle w:val="41"/>
      </w:pPr>
      <w:r>
        <w:rPr>
          <w:rFonts w:hint="eastAsia"/>
        </w:rPr>
        <w:t>根据《建筑环境通用规范》GB</w:t>
      </w:r>
      <w:r>
        <w:t xml:space="preserve"> 55016</w:t>
      </w:r>
      <w:r>
        <w:rPr>
          <w:rFonts w:hint="eastAsia"/>
        </w:rPr>
        <w:t>第</w:t>
      </w:r>
      <w:r>
        <w:t>4.4.3</w:t>
      </w:r>
      <w:r>
        <w:rPr>
          <w:rFonts w:hint="eastAsia"/>
        </w:rPr>
        <w:t>条，</w:t>
      </w:r>
      <w:r>
        <w:t>,</w:t>
      </w:r>
      <w:r>
        <w:rPr>
          <w:rFonts w:hint="eastAsia"/>
        </w:rPr>
        <w:t>当围护结构内部可能发生冷凝时，冷凝计算界面内侧所需的蒸汽渗透阻应按式（3.2-1）计算：</w:t>
      </w:r>
    </w:p>
    <w:p w14:paraId="02FED3FA">
      <w:pPr>
        <w:wordWrap w:val="0"/>
        <w:jc w:val="right"/>
      </w:pPr>
      <w:r>
        <w:rPr>
          <w:position w:val="-54"/>
        </w:rPr>
        <w:object>
          <v:shape id="_x0000_i1027" o:spt="75" type="#_x0000_t75" style="height:45.75pt;width:14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t xml:space="preserve">                          </w:t>
      </w:r>
      <w:r>
        <w:rPr>
          <w:rFonts w:hint="eastAsia"/>
        </w:rPr>
        <w:t xml:space="preserve">（3.2-1） </w:t>
      </w:r>
    </w:p>
    <w:p w14:paraId="0516E18F">
      <w:r>
        <w:rPr>
          <w:rFonts w:hint="eastAsia"/>
        </w:rPr>
        <w:t>则推导：</w:t>
      </w:r>
    </w:p>
    <w:p w14:paraId="59D7E638">
      <w:pPr>
        <w:wordWrap w:val="0"/>
        <w:jc w:val="right"/>
      </w:pPr>
      <w:r>
        <w:rPr>
          <w:position w:val="-28"/>
        </w:rPr>
        <w:object>
          <v:shape id="_x0000_i1028" o:spt="75" type="#_x0000_t75" style="height:50.25pt;width:162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t xml:space="preserve">                        </w:t>
      </w:r>
      <w:r>
        <w:rPr>
          <w:rFonts w:hint="eastAsia"/>
        </w:rPr>
        <w:t>（3.2-2）</w:t>
      </w:r>
    </w:p>
    <w:p w14:paraId="4AA7D6D0">
      <w:r>
        <w:rPr>
          <w:rFonts w:hint="eastAsia"/>
        </w:rPr>
        <w:t>式中：</w:t>
      </w:r>
    </w:p>
    <w:p w14:paraId="23E8CA5F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10"/>
        </w:rPr>
        <w:object>
          <v:shape id="_x0000_i1029" o:spt="75" type="#_x0000_t75" style="height:16.5pt;width:24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采暖期间保温材料重量湿度的允许增量限值(%)；</w:t>
      </w:r>
    </w:p>
    <w:p w14:paraId="34A86C10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30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冷凝计算界面内侧实际的蒸汽渗透阻(㎡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1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06D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8306DA&quot; wsp:rsidP=&quot;008306DA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32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06D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8306DA&quot; wsp:rsidP=&quot;008306DA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3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268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A6268&quot; wsp:rsidP=&quot;004A626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lt;/aml:annotation&gt;&lt;/m:r&gt;&lt;/m:oMath&gt;&lt;/m:oMathPara&gt;&lt;/w:p&gt;&lt;w:sectPr wsp:rsidR=&quot;00000000&quot;&gt;&lt;w:pg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3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34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268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A6268&quot; wsp:rsidP=&quot;004A626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lt;/aml:annotation&gt;&lt;/m:r&gt;&lt;/m:oMath&gt;&lt;/m:oMathPara&gt;&lt;/w:p&gt;&lt;w:sectPr wsp:rsidR=&quot;00000000&quot;&gt;&lt;w:pg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3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Pa/g)；</w:t>
      </w:r>
    </w:p>
    <w:p w14:paraId="3C467B94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35" o:spt="75" type="#_x0000_t75" style="height:13.5pt;width:21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1" r:id="rId24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冷凝计算界面至围护结构外表面之间的蒸汽渗透阻(㎡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6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17D58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E17D58&quot; wsp:rsidP=&quot;00E17D5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37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17D58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E17D58&quot; wsp:rsidP=&quot;00E17D5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8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D4CC3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9D4CC3&quot; wsp:rsidP=&quot;009D4CC3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lt;/aml:annotation&gt;&lt;/m:r&gt;&lt;/m:oMath&gt;&lt;/m:oMathPara&gt;&lt;/w:p&gt;&lt;w:sectPr wsp:rsidR=&quot;00000000&quot;&gt;&lt;w:pg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3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39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D4CC3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9D4CC3&quot; wsp:rsidP=&quot;009D4CC3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lt;/aml:annotation&gt;&lt;/m:r&gt;&lt;/m:oMath&gt;&lt;/m:oMathPara&gt;&lt;/w:p&gt;&lt;w:sectPr wsp:rsidR=&quot;00000000&quot;&gt;&lt;w:pg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3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Pa/g)；</w:t>
      </w:r>
    </w:p>
    <w:p w14:paraId="76FFA777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40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40" DrawAspect="Content" ObjectID="_1468075732" r:id="rId26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室内空气水蒸气分压力(Pa)，根据室内计算温度和相对湿度确定；</w:t>
      </w:r>
    </w:p>
    <w:p w14:paraId="48C8841B">
      <w:pPr>
        <w:autoSpaceDE w:val="0"/>
        <w:autoSpaceDN w:val="0"/>
        <w:adjustRightInd w:val="0"/>
        <w:ind w:left="1470" w:leftChars="400" w:hanging="630" w:hangingChars="3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41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41" DrawAspect="Content" ObjectID="_1468075733" r:id="rId28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室外空气水蒸气分压力(Pa)，根据本规范附录三附表3.1查得的采暖期室外平均温度和平均相对温度确定；</w:t>
      </w:r>
    </w:p>
    <w:p w14:paraId="4F80CDA9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42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42" DrawAspect="Content" ObjectID="_1468075734" r:id="rId30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冷凝计算界面处与界面温度</w:t>
      </w:r>
      <w:r>
        <w:rPr>
          <w:rFonts w:ascii="宋体" w:cs="宋体"/>
          <w:kern w:val="0"/>
          <w:position w:val="-6"/>
          <w:szCs w:val="21"/>
        </w:rPr>
        <w:object>
          <v:shape id="_x0000_i1043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3" DrawAspect="Content" ObjectID="_1468075735" r:id="rId32">
            <o:LockedField>false</o:LockedField>
          </o:OLEObject>
        </w:object>
      </w:r>
      <w:r>
        <w:rPr>
          <w:rFonts w:ascii="宋体" w:cs="宋体"/>
          <w:kern w:val="0"/>
          <w:szCs w:val="21"/>
        </w:rPr>
        <w:t xml:space="preserve"> </w:t>
      </w:r>
      <w:r>
        <w:rPr>
          <w:rFonts w:hint="eastAsia" w:ascii="宋体" w:cs="宋体"/>
          <w:kern w:val="0"/>
          <w:szCs w:val="21"/>
        </w:rPr>
        <w:t>对应的饱和水蒸气分压力(Pa)；</w:t>
      </w:r>
    </w:p>
    <w:p w14:paraId="1B5E9BAC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rFonts w:hint="eastAsia"/>
        </w:rPr>
        <w:t>Z—</w:t>
      </w:r>
      <w:r>
        <w:rPr>
          <w:rFonts w:hint="eastAsia" w:ascii="宋体" w:cs="宋体"/>
          <w:kern w:val="0"/>
          <w:szCs w:val="21"/>
        </w:rPr>
        <w:t>采暖期天数，应符合本规范附录三附表3.1的规定；</w:t>
      </w:r>
    </w:p>
    <w:p w14:paraId="1786CFB5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10"/>
        </w:rPr>
        <w:object>
          <v:shape id="_x0000_i1044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4" DrawAspect="Content" ObjectID="_1468075736" r:id="rId34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保温材料的干密度(kg/m</w:t>
      </w:r>
      <w:r>
        <w:rPr>
          <w:rFonts w:ascii="宋体" w:cs="宋体"/>
          <w:kern w:val="0"/>
          <w:szCs w:val="21"/>
          <w:vertAlign w:val="superscript"/>
        </w:rPr>
        <w:t>3</w:t>
      </w:r>
      <w:r>
        <w:rPr>
          <w:rFonts w:hint="eastAsia" w:ascii="宋体" w:cs="宋体"/>
          <w:kern w:val="0"/>
          <w:szCs w:val="21"/>
        </w:rPr>
        <w:t>)；</w:t>
      </w:r>
    </w:p>
    <w:p w14:paraId="29DB0B67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45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5" DrawAspect="Content" ObjectID="_1468075737" r:id="rId36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保温材料厚度(m)；</w:t>
      </w:r>
    </w:p>
    <w:p w14:paraId="53512E2E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</w:p>
    <w:p w14:paraId="6C658AA7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hint="eastAsia" w:eastAsiaTheme="minorEastAsia"/>
          <w:szCs w:val="22"/>
        </w:rPr>
        <w:t>冷凝计算界面温度可按下式计算：</w:t>
      </w:r>
    </w:p>
    <w:p w14:paraId="0E8510BF">
      <w:pPr>
        <w:jc w:val="center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6" o:spt="75" type="#_x0000_t75" style="height:33.75pt;width:117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6" DrawAspect="Content" ObjectID="_1468075738" r:id="rId38">
            <o:LockedField>false</o:LockedField>
          </o:OLEObject>
        </w:object>
      </w:r>
    </w:p>
    <w:p w14:paraId="21E02E67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hint="eastAsia" w:eastAsiaTheme="minorEastAsia"/>
          <w:szCs w:val="22"/>
        </w:rPr>
        <w:t>式中：</w:t>
      </w:r>
      <w:r>
        <w:rPr>
          <w:rFonts w:eastAsiaTheme="minorEastAsia"/>
        </w:rPr>
        <w:object>
          <v:shape id="_x0000_i1047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7" DrawAspect="Content" ObjectID="_1468075739" r:id="rId40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冷凝计算界面温度（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3060F60B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8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8" DrawAspect="Content" ObjectID="_1468075740" r:id="rId42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室内计算温度（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12CBC88F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9" o:spt="75" type="#_x0000_t75" style="height:18pt;width:10.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9" DrawAspect="Content" ObjectID="_1468075741" r:id="rId44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采暖期室外平均温度（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2ED9D125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50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50" DrawAspect="Content" ObjectID="_1468075742" r:id="rId46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围护结构传热阻（㎡</w:t>
      </w:r>
      <w:r>
        <w:rPr>
          <w:rFonts w:eastAsiaTheme="minorEastAsia"/>
          <w:szCs w:val="22"/>
        </w:rPr>
        <w:t>·K/W</w:t>
      </w:r>
      <w:r>
        <w:rPr>
          <w:rFonts w:hint="eastAsia" w:eastAsiaTheme="minorEastAsia"/>
          <w:szCs w:val="22"/>
        </w:rPr>
        <w:t>）</w:t>
      </w:r>
    </w:p>
    <w:p w14:paraId="75393EF2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51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51" DrawAspect="Content" ObjectID="_1468075743" r:id="rId48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内表面换热阻（㎡</w:t>
      </w:r>
      <w:r>
        <w:rPr>
          <w:rFonts w:eastAsiaTheme="minorEastAsia"/>
          <w:szCs w:val="22"/>
        </w:rPr>
        <w:t>K/W</w:t>
      </w:r>
      <w:r>
        <w:rPr>
          <w:rFonts w:hint="eastAsia" w:eastAsiaTheme="minorEastAsia"/>
          <w:szCs w:val="22"/>
        </w:rPr>
        <w:t>）</w:t>
      </w:r>
    </w:p>
    <w:p w14:paraId="3030C732">
      <w:pPr>
        <w:rPr>
          <w:rFonts w:asciiTheme="minorHAnsi" w:hAnsiTheme="minorHAnsi" w:eastAsiaTheme="minorEastAsia"/>
          <w:szCs w:val="22"/>
        </w:rPr>
      </w:pPr>
      <w:r>
        <w:rPr>
          <w:rFonts w:eastAsiaTheme="minorEastAsia"/>
          <w:szCs w:val="22"/>
        </w:rPr>
        <w:t xml:space="preserve">    </w:t>
      </w:r>
      <w:r>
        <w:rPr>
          <w:rFonts w:eastAsiaTheme="minorEastAsia"/>
        </w:rPr>
        <w:object>
          <v:shape id="_x0000_i1052" o:spt="75" type="#_x0000_t75" style="height:19.5pt;width:19.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52" DrawAspect="Content" ObjectID="_1468075744" r:id="rId50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冷凝计算界面至围护结构内表面之间的热阻（㎡</w:t>
      </w:r>
      <w:r>
        <w:rPr>
          <w:rFonts w:eastAsiaTheme="minorEastAsia"/>
          <w:szCs w:val="22"/>
        </w:rPr>
        <w:t>·K/W</w:t>
      </w:r>
      <w:r>
        <w:rPr>
          <w:rFonts w:hint="eastAsia" w:eastAsiaTheme="minorEastAsia"/>
          <w:szCs w:val="22"/>
        </w:rPr>
        <w:t>）</w:t>
      </w:r>
    </w:p>
    <w:p w14:paraId="5A56979D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</w:p>
    <w:p w14:paraId="470342B1">
      <w:pPr>
        <w:pStyle w:val="2"/>
        <w:spacing w:line="240" w:lineRule="atLeast"/>
      </w:pPr>
      <w:bookmarkStart w:id="42" w:name="_Toc13728"/>
      <w:bookmarkStart w:id="43" w:name="_Toc480186126"/>
      <w:bookmarkStart w:id="44" w:name="_Toc480186064"/>
      <w:bookmarkStart w:id="45" w:name="_Toc480218448"/>
      <w:r>
        <w:rPr>
          <w:rFonts w:hint="eastAsia"/>
        </w:rPr>
        <w:t>防潮验算</w:t>
      </w:r>
      <w:r>
        <w:t>计算过程</w:t>
      </w:r>
      <w:bookmarkEnd w:id="42"/>
      <w:bookmarkEnd w:id="43"/>
      <w:bookmarkEnd w:id="44"/>
      <w:bookmarkEnd w:id="45"/>
    </w:p>
    <w:p w14:paraId="63226647">
      <w:pPr>
        <w:pStyle w:val="4"/>
        <w:spacing w:line="240" w:lineRule="atLeast"/>
        <w:rPr>
          <w:kern w:val="2"/>
        </w:rPr>
      </w:pPr>
      <w:bookmarkStart w:id="46" w:name="_Toc14752"/>
      <w:r>
        <w:rPr>
          <w:rFonts w:hint="eastAsia"/>
          <w:kern w:val="2"/>
        </w:rPr>
        <w:t>计算条件</w:t>
      </w:r>
      <w:bookmarkEnd w:id="46"/>
    </w:p>
    <w:tbl>
      <w:tblPr>
        <w:tblStyle w:val="20"/>
        <w:tblW w:w="932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2"/>
        <w:gridCol w:w="2693"/>
        <w:gridCol w:w="3671"/>
      </w:tblGrid>
      <w:tr w14:paraId="49ECAB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2962" w:type="dxa"/>
            <w:tcBorders>
              <w:top w:val="single" w:color="auto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E6E6E6"/>
            <w:vAlign w:val="center"/>
          </w:tcPr>
          <w:p w14:paraId="39BA93CD">
            <w:r>
              <w:rPr>
                <w:position w:val="-6"/>
              </w:rPr>
              <w:object>
                <v:shape id="_x0000_i1053" o:spt="75" type="#_x0000_t75" style="height:13.5pt;width:13.5pt;" o:ole="t" filled="f" o:preferrelative="t" stroked="f" coordsize="21600,21600">
                  <v:path/>
                  <v:fill on="f" focussize="0,0"/>
                  <v:stroke on="f" joinstyle="miter"/>
                  <v:imagedata r:id="rId53" o:title="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45" r:id="rId52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内表面换热阻（㎡</w:t>
            </w:r>
            <w:r>
              <w:fldChar w:fldCharType="begin"/>
            </w:r>
            <w:r>
              <w:instrText xml:space="preserve"> QUOTE </w:instrText>
            </w:r>
            <w:r>
              <w:rPr>
                <w:position w:val="-8"/>
              </w:rPr>
              <w:pict>
                <v:shape id="_x0000_i1054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4DAA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A4DAA&quot; wsp:rsidP=&quot;00AA4DA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2" chromakey="#FFFFFF" o:title=""/>
                  <o:lock v:ext="edit" aspectratio="t"/>
                  <w10:wrap type="none"/>
                  <w10:anchorlock/>
                </v:shape>
              </w:pict>
            </w:r>
            <w:r>
              <w:instrText xml:space="preserve"> </w:instrText>
            </w:r>
            <w:r>
              <w:fldChar w:fldCharType="separate"/>
            </w:r>
            <w:r>
              <w:rPr>
                <w:position w:val="-8"/>
              </w:rPr>
              <w:pict>
                <v:shape id="_x0000_i1055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4DAA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A4DAA&quot; wsp:rsidP=&quot;00AA4DA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2" chromakey="#FFFFFF" o:title=""/>
                  <o:lock v:ext="edit" aspectratio="t"/>
                  <w10:wrap type="none"/>
                  <w10:anchorlock/>
                </v:shape>
              </w:pict>
            </w:r>
            <w:r>
              <w:fldChar w:fldCharType="end"/>
            </w:r>
            <w:r>
              <w:rPr>
                <w:rFonts w:hint="eastAsia"/>
              </w:rPr>
              <w:t>K/W）</w:t>
            </w:r>
          </w:p>
        </w:tc>
        <w:tc>
          <w:tcPr>
            <w:tcW w:w="2693" w:type="dxa"/>
            <w:tcBorders>
              <w:top w:val="single" w:color="auto" w:sz="12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5C4E96D">
            <w:r>
              <w:rPr>
                <w:rFonts w:hint="eastAsia"/>
              </w:rPr>
              <w:t>0.11</w:t>
            </w:r>
          </w:p>
        </w:tc>
        <w:tc>
          <w:tcPr>
            <w:tcW w:w="3671" w:type="dxa"/>
            <w:tcBorders>
              <w:top w:val="single" w:color="auto" w:sz="12" w:space="0"/>
              <w:left w:val="single" w:color="auto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 w14:paraId="2E3BDF27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GB50176附录B.4的</w:t>
            </w:r>
            <w:r>
              <w:t>规定采用</w:t>
            </w:r>
            <w:r>
              <w:rPr>
                <w:rFonts w:hint="eastAsia"/>
              </w:rPr>
              <w:t>。</w:t>
            </w:r>
          </w:p>
        </w:tc>
      </w:tr>
      <w:tr w14:paraId="600140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2962" w:type="dxa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E6E6E6"/>
            <w:vAlign w:val="center"/>
          </w:tcPr>
          <w:p w14:paraId="178A2F2E">
            <w:r>
              <w:t xml:space="preserve">ti </w:t>
            </w:r>
            <w:r>
              <w:rPr>
                <w:rFonts w:hint="eastAsia"/>
              </w:rPr>
              <w:t>室内计算温度</w:t>
            </w:r>
            <w:r>
              <w:t>(</w:t>
            </w:r>
            <w:r>
              <w:rPr>
                <w:rFonts w:hint="eastAsia" w:ascii="宋体" w:hAnsi="宋体" w:cs="宋体"/>
              </w:rPr>
              <w:t>℃</w:t>
            </w:r>
            <w:r>
              <w:t>)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B40AEC9">
            <w:bookmarkStart w:id="47" w:name="t_i_avg"/>
            <w:r>
              <w:rPr>
                <w:rFonts w:hint="eastAsia"/>
              </w:rPr>
              <w:t>18</w:t>
            </w:r>
            <w:bookmarkEnd w:id="47"/>
          </w:p>
        </w:tc>
        <w:tc>
          <w:tcPr>
            <w:tcW w:w="3671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 w14:paraId="6B7E1BE6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GB50176第3.</w:t>
            </w:r>
            <w:r>
              <w:t>3.1</w:t>
            </w:r>
            <w:r>
              <w:rPr>
                <w:rFonts w:hint="eastAsia"/>
              </w:rPr>
              <w:t>条</w:t>
            </w:r>
            <w:r>
              <w:t>规定采用。</w:t>
            </w:r>
          </w:p>
        </w:tc>
      </w:tr>
      <w:tr w14:paraId="375B17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962" w:type="dxa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E6E6E6"/>
            <w:vAlign w:val="center"/>
          </w:tcPr>
          <w:p w14:paraId="2B0D1D59">
            <w:r>
              <w:rPr>
                <w:rFonts w:hint="eastAsia"/>
              </w:rPr>
              <w:t>室内</w:t>
            </w:r>
            <w:r>
              <w:t>相对湿度(</w:t>
            </w:r>
            <w:r>
              <w:rPr>
                <w:rFonts w:hint="eastAsia" w:ascii="宋体" w:hAnsi="宋体" w:cs="宋体"/>
              </w:rPr>
              <w:t>%</w:t>
            </w:r>
            <w:r>
              <w:t>)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12BA278">
            <w:bookmarkStart w:id="48" w:name="室内相对湿度"/>
            <w:r>
              <w:rPr>
                <w:rFonts w:hint="eastAsia"/>
              </w:rPr>
              <w:t>60</w:t>
            </w:r>
            <w:bookmarkEnd w:id="48"/>
          </w:p>
        </w:tc>
        <w:tc>
          <w:tcPr>
            <w:tcW w:w="3671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 w14:paraId="7204A5D7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GB50176第3.</w:t>
            </w:r>
            <w:r>
              <w:t>3.1</w:t>
            </w:r>
            <w:r>
              <w:rPr>
                <w:rFonts w:hint="eastAsia"/>
              </w:rPr>
              <w:t>条</w:t>
            </w:r>
            <w:r>
              <w:t>规定采用。</w:t>
            </w:r>
          </w:p>
        </w:tc>
      </w:tr>
      <w:tr w14:paraId="1C710F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962" w:type="dxa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E6E6E6"/>
            <w:vAlign w:val="center"/>
          </w:tcPr>
          <w:p w14:paraId="3CA34C2C">
            <w:r>
              <w:rPr>
                <w:position w:val="-6"/>
              </w:rPr>
              <w:object>
                <v:shape id="_x0000_i1056" o:spt="75" type="#_x0000_t75" style="height:17.25pt;width:9.75pt;" o:ole="t" filled="f" o:preferrelative="t" stroked="f" coordsize="21600,21600">
                  <v:path/>
                  <v:fill on="f" focussize="0,0"/>
                  <v:stroke on="f" joinstyle="miter"/>
                  <v:imagedata r:id="rId55" o:title="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46" r:id="rId54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 采暖期室外平均温度（℃）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FAE068E">
            <w:bookmarkStart w:id="49" w:name="t_e_avg"/>
            <w:r>
              <w:rPr>
                <w:rFonts w:hint="eastAsia"/>
              </w:rPr>
              <w:t>2.10</w:t>
            </w:r>
            <w:bookmarkEnd w:id="49"/>
          </w:p>
        </w:tc>
        <w:tc>
          <w:tcPr>
            <w:tcW w:w="3671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 w14:paraId="323E55DF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  <w:tr w14:paraId="1ED002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2962" w:type="dxa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E6E6E6"/>
            <w:vAlign w:val="center"/>
          </w:tcPr>
          <w:p w14:paraId="385EF50E">
            <w:r>
              <w:rPr>
                <w:rFonts w:hint="eastAsia"/>
              </w:rPr>
              <w:t>室外</w:t>
            </w:r>
            <w:r>
              <w:t>相对湿度(</w:t>
            </w:r>
            <w:r>
              <w:rPr>
                <w:rFonts w:hint="eastAsia" w:ascii="宋体" w:hAnsi="宋体" w:cs="宋体"/>
              </w:rPr>
              <w:t>%</w:t>
            </w:r>
            <w:r>
              <w:t>)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EBE22B">
            <w:bookmarkStart w:id="50" w:name="室外相对湿度"/>
            <w:r>
              <w:rPr>
                <w:rFonts w:hint="eastAsia"/>
              </w:rPr>
              <w:t>62.00</w:t>
            </w:r>
            <w:bookmarkEnd w:id="50"/>
          </w:p>
        </w:tc>
        <w:tc>
          <w:tcPr>
            <w:tcW w:w="3671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 w14:paraId="4D505B6B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  <w:tr w14:paraId="01F985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2962" w:type="dxa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auto" w:sz="8" w:space="0"/>
            </w:tcBorders>
            <w:shd w:val="clear" w:color="auto" w:fill="E6E6E6"/>
            <w:vAlign w:val="center"/>
          </w:tcPr>
          <w:p w14:paraId="2D0AE72D">
            <w:r>
              <w:rPr>
                <w:rFonts w:hint="eastAsia"/>
              </w:rPr>
              <w:t>Z</w:t>
            </w:r>
            <w:r>
              <w:t xml:space="preserve"> </w:t>
            </w:r>
            <w:r>
              <w:rPr>
                <w:rFonts w:hint="eastAsia"/>
              </w:rPr>
              <w:t>采暖</w:t>
            </w:r>
            <w:r>
              <w:t>天数</w:t>
            </w:r>
          </w:p>
        </w:tc>
        <w:tc>
          <w:tcPr>
            <w:tcW w:w="2693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16536BBD">
            <w:bookmarkStart w:id="51" w:name="Z"/>
            <w:r>
              <w:rPr>
                <w:rFonts w:hint="eastAsia"/>
              </w:rPr>
              <w:t>82</w:t>
            </w:r>
            <w:bookmarkEnd w:id="51"/>
          </w:p>
        </w:tc>
        <w:tc>
          <w:tcPr>
            <w:tcW w:w="3671" w:type="dxa"/>
            <w:tcBorders>
              <w:top w:val="single" w:color="000000" w:sz="8" w:space="0"/>
              <w:left w:val="single" w:color="auto" w:sz="8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958E297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GB50176附录A表A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</w:tbl>
    <w:p w14:paraId="5C8E3C12">
      <w:r>
        <w:rPr>
          <w:rFonts w:hint="eastAsia"/>
        </w:rPr>
        <w:t xml:space="preserve"> </w:t>
      </w:r>
      <w:bookmarkStart w:id="52" w:name="气象数据参考"/>
      <w:r>
        <w:t>注：气象数据参考 陕西-西安.</w:t>
      </w:r>
      <w:r>
        <w:br w:type="textWrapping"/>
      </w:r>
      <w:bookmarkEnd w:id="52"/>
    </w:p>
    <w:p w14:paraId="57A36664">
      <w:pPr>
        <w:pStyle w:val="3"/>
        <w:ind w:left="0" w:leftChars="0" w:right="1470"/>
      </w:pPr>
    </w:p>
    <w:p w14:paraId="329BF1BB">
      <w:pPr>
        <w:pStyle w:val="4"/>
        <w:spacing w:line="240" w:lineRule="atLeast"/>
        <w:rPr>
          <w:kern w:val="2"/>
        </w:rPr>
      </w:pPr>
      <w:bookmarkStart w:id="53" w:name="构造ID"/>
      <w:bookmarkStart w:id="54" w:name="_Toc11097"/>
      <w:bookmarkStart w:id="55" w:name="DataTab"/>
      <w:r>
        <w:rPr>
          <w:rFonts w:hint="eastAsia"/>
          <w:kern w:val="2"/>
        </w:rPr>
        <w:t>屋顶构造一</w:t>
      </w:r>
      <w:bookmarkEnd w:id="53"/>
      <w:bookmarkEnd w:id="54"/>
    </w:p>
    <w:tbl>
      <w:tblPr>
        <w:tblStyle w:val="20"/>
        <w:tblW w:w="948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671"/>
        <w:gridCol w:w="992"/>
        <w:gridCol w:w="1559"/>
        <w:gridCol w:w="993"/>
      </w:tblGrid>
      <w:tr w14:paraId="7A816E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restart"/>
            <w:shd w:val="clear" w:color="auto" w:fill="E6E6E6"/>
            <w:vAlign w:val="center"/>
          </w:tcPr>
          <w:p w14:paraId="23955FE3">
            <w:pPr>
              <w:jc w:val="center"/>
              <w:rPr>
                <w:kern w:val="0"/>
                <w:szCs w:val="20"/>
                <w:lang w:val="en-GB"/>
              </w:rPr>
            </w:pPr>
            <w:bookmarkStart w:id="56" w:name="构造表"/>
            <w:r>
              <w:rPr>
                <w:rFonts w:hint="eastAsia"/>
              </w:rPr>
              <w:t>材料名称</w:t>
            </w:r>
            <w:r>
              <w:br w:type="textWrapping"/>
            </w:r>
            <w:r>
              <w:rPr>
                <w:rFonts w:hint="eastAsia"/>
              </w:rP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48C4FD9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5DFFD25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671" w:type="dxa"/>
            <w:shd w:val="clear" w:color="auto" w:fill="E6E6E6"/>
            <w:vAlign w:val="center"/>
          </w:tcPr>
          <w:p w14:paraId="7CFF2897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63C512E1">
            <w:pPr>
              <w:jc w:val="center"/>
            </w:pPr>
            <w:r>
              <w:rPr>
                <w:rFonts w:hint="eastAsia"/>
              </w:rPr>
              <w:t>密度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1A721C7B">
            <w:pPr>
              <w:jc w:val="center"/>
            </w:pPr>
            <w:r>
              <w:rPr>
                <w:rFonts w:hint="eastAsia"/>
              </w:rPr>
              <w:t>蒸汽渗透</w:t>
            </w:r>
            <w:r>
              <w:t>系数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26BB4CE3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</w:tr>
      <w:tr w14:paraId="0A0E29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continue"/>
            <w:vAlign w:val="center"/>
          </w:tcPr>
          <w:p w14:paraId="528327EC">
            <w:pPr>
              <w:rPr>
                <w:lang w:val="en-GB"/>
              </w:rPr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0C9F76F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CA34FE5">
            <w:pPr>
              <w:jc w:val="center"/>
            </w:pPr>
            <w:r>
              <w:t>W/(m.K)</w:t>
            </w:r>
          </w:p>
        </w:tc>
        <w:tc>
          <w:tcPr>
            <w:tcW w:w="671" w:type="dxa"/>
            <w:shd w:val="clear" w:color="auto" w:fill="E6E6E6"/>
            <w:vAlign w:val="center"/>
          </w:tcPr>
          <w:p w14:paraId="003CFB8E">
            <w:pPr>
              <w:jc w:val="center"/>
            </w:pPr>
            <w:r>
              <w:t>α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3E8B37A0">
            <w:pPr>
              <w:jc w:val="center"/>
            </w:pPr>
            <w:r>
              <w:t>Kg/m³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7DE1C213">
            <w:pPr>
              <w:jc w:val="center"/>
            </w:pPr>
            <w:r>
              <w:t>g</w:t>
            </w:r>
            <w:r>
              <w:rPr>
                <w:rFonts w:hint="eastAsia"/>
              </w:rPr>
              <w:t>/(m</w:t>
            </w:r>
            <w:r>
              <w:t>.</w:t>
            </w:r>
            <w:r>
              <w:rPr>
                <w:rFonts w:hint="eastAsia"/>
              </w:rPr>
              <w:t>h.</w:t>
            </w:r>
            <w:r>
              <w:t>K</w:t>
            </w:r>
            <w:r>
              <w:rPr>
                <w:rFonts w:hint="eastAsia"/>
              </w:rPr>
              <w:t>Pa</w:t>
            </w:r>
            <w:r>
              <w:t>)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58DF5008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</w:tr>
      <w:tr w14:paraId="4C297F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5C6B864C">
            <w:r>
              <w:t>SBS改性沥青卷材防水</w:t>
            </w:r>
          </w:p>
        </w:tc>
        <w:tc>
          <w:tcPr>
            <w:tcW w:w="848" w:type="dxa"/>
            <w:vAlign w:val="center"/>
          </w:tcPr>
          <w:p w14:paraId="240BEE99">
            <w:r>
              <w:t>4</w:t>
            </w:r>
          </w:p>
        </w:tc>
        <w:tc>
          <w:tcPr>
            <w:tcW w:w="1075" w:type="dxa"/>
            <w:vAlign w:val="center"/>
          </w:tcPr>
          <w:p w14:paraId="78CD2704">
            <w:r>
              <w:t>0.170</w:t>
            </w:r>
          </w:p>
        </w:tc>
        <w:tc>
          <w:tcPr>
            <w:tcW w:w="671" w:type="dxa"/>
            <w:vAlign w:val="center"/>
          </w:tcPr>
          <w:p w14:paraId="715EB092">
            <w:r>
              <w:t>1.00</w:t>
            </w:r>
          </w:p>
        </w:tc>
        <w:tc>
          <w:tcPr>
            <w:tcW w:w="992" w:type="dxa"/>
            <w:vAlign w:val="center"/>
          </w:tcPr>
          <w:p w14:paraId="58A8D570">
            <w:r>
              <w:t>600.00</w:t>
            </w:r>
          </w:p>
        </w:tc>
        <w:tc>
          <w:tcPr>
            <w:tcW w:w="1559" w:type="dxa"/>
            <w:vAlign w:val="center"/>
          </w:tcPr>
          <w:p w14:paraId="60110207">
            <w:r>
              <w:t>0.0000</w:t>
            </w:r>
          </w:p>
        </w:tc>
        <w:tc>
          <w:tcPr>
            <w:tcW w:w="993" w:type="dxa"/>
            <w:vAlign w:val="center"/>
          </w:tcPr>
          <w:p w14:paraId="0787A64E">
            <w:r>
              <w:t>0.024</w:t>
            </w:r>
          </w:p>
        </w:tc>
      </w:tr>
      <w:tr w14:paraId="73FE47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04C95E6A">
            <w:r>
              <w:t>SBS改性沥青卷材防水</w:t>
            </w:r>
          </w:p>
        </w:tc>
        <w:tc>
          <w:tcPr>
            <w:tcW w:w="848" w:type="dxa"/>
            <w:vAlign w:val="center"/>
          </w:tcPr>
          <w:p w14:paraId="2096DFBE">
            <w:r>
              <w:t>4</w:t>
            </w:r>
          </w:p>
        </w:tc>
        <w:tc>
          <w:tcPr>
            <w:tcW w:w="1075" w:type="dxa"/>
            <w:vAlign w:val="center"/>
          </w:tcPr>
          <w:p w14:paraId="29760257">
            <w:r>
              <w:t>0.170</w:t>
            </w:r>
          </w:p>
        </w:tc>
        <w:tc>
          <w:tcPr>
            <w:tcW w:w="671" w:type="dxa"/>
            <w:vAlign w:val="center"/>
          </w:tcPr>
          <w:p w14:paraId="6BAC348C">
            <w:r>
              <w:t>1.00</w:t>
            </w:r>
          </w:p>
        </w:tc>
        <w:tc>
          <w:tcPr>
            <w:tcW w:w="992" w:type="dxa"/>
            <w:vAlign w:val="center"/>
          </w:tcPr>
          <w:p w14:paraId="014F556F">
            <w:r>
              <w:t>600.00</w:t>
            </w:r>
          </w:p>
        </w:tc>
        <w:tc>
          <w:tcPr>
            <w:tcW w:w="1559" w:type="dxa"/>
            <w:vAlign w:val="center"/>
          </w:tcPr>
          <w:p w14:paraId="4B59AB38">
            <w:r>
              <w:t>0.0000</w:t>
            </w:r>
          </w:p>
        </w:tc>
        <w:tc>
          <w:tcPr>
            <w:tcW w:w="993" w:type="dxa"/>
            <w:vAlign w:val="center"/>
          </w:tcPr>
          <w:p w14:paraId="081D2DF8">
            <w:r>
              <w:t>0.024</w:t>
            </w:r>
          </w:p>
        </w:tc>
      </w:tr>
      <w:tr w14:paraId="2F1117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33D0EF97">
            <w:r>
              <w:t>水泥砂浆</w:t>
            </w:r>
          </w:p>
        </w:tc>
        <w:tc>
          <w:tcPr>
            <w:tcW w:w="848" w:type="dxa"/>
            <w:vAlign w:val="center"/>
          </w:tcPr>
          <w:p w14:paraId="5029DE37">
            <w:r>
              <w:t>30</w:t>
            </w:r>
          </w:p>
        </w:tc>
        <w:tc>
          <w:tcPr>
            <w:tcW w:w="1075" w:type="dxa"/>
            <w:vAlign w:val="center"/>
          </w:tcPr>
          <w:p w14:paraId="630991BA">
            <w:r>
              <w:t>0.930</w:t>
            </w:r>
          </w:p>
        </w:tc>
        <w:tc>
          <w:tcPr>
            <w:tcW w:w="671" w:type="dxa"/>
            <w:vAlign w:val="center"/>
          </w:tcPr>
          <w:p w14:paraId="460C100D">
            <w:r>
              <w:t>1.00</w:t>
            </w:r>
          </w:p>
        </w:tc>
        <w:tc>
          <w:tcPr>
            <w:tcW w:w="992" w:type="dxa"/>
            <w:vAlign w:val="center"/>
          </w:tcPr>
          <w:p w14:paraId="457D3010">
            <w:r>
              <w:t>1800.00</w:t>
            </w:r>
          </w:p>
        </w:tc>
        <w:tc>
          <w:tcPr>
            <w:tcW w:w="1559" w:type="dxa"/>
            <w:vAlign w:val="center"/>
          </w:tcPr>
          <w:p w14:paraId="769AD3BB">
            <w:r>
              <w:t>0.0210</w:t>
            </w:r>
          </w:p>
        </w:tc>
        <w:tc>
          <w:tcPr>
            <w:tcW w:w="993" w:type="dxa"/>
            <w:vAlign w:val="center"/>
          </w:tcPr>
          <w:p w14:paraId="51199CC3">
            <w:r>
              <w:t>0.032</w:t>
            </w:r>
          </w:p>
        </w:tc>
      </w:tr>
      <w:tr w14:paraId="62352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3B03BABD">
            <w:r>
              <w:t>1:6水泥焦渣找坡层</w:t>
            </w:r>
          </w:p>
        </w:tc>
        <w:tc>
          <w:tcPr>
            <w:tcW w:w="848" w:type="dxa"/>
            <w:vAlign w:val="center"/>
          </w:tcPr>
          <w:p w14:paraId="7E9A80D1">
            <w:r>
              <w:t>30</w:t>
            </w:r>
          </w:p>
        </w:tc>
        <w:tc>
          <w:tcPr>
            <w:tcW w:w="1075" w:type="dxa"/>
            <w:vAlign w:val="center"/>
          </w:tcPr>
          <w:p w14:paraId="031FBCEA">
            <w:r>
              <w:t>0.560</w:t>
            </w:r>
          </w:p>
        </w:tc>
        <w:tc>
          <w:tcPr>
            <w:tcW w:w="671" w:type="dxa"/>
            <w:vAlign w:val="center"/>
          </w:tcPr>
          <w:p w14:paraId="57F93099">
            <w:r>
              <w:t>1.00</w:t>
            </w:r>
          </w:p>
        </w:tc>
        <w:tc>
          <w:tcPr>
            <w:tcW w:w="992" w:type="dxa"/>
            <w:vAlign w:val="center"/>
          </w:tcPr>
          <w:p w14:paraId="326F5138">
            <w:r>
              <w:t>1300.00</w:t>
            </w:r>
          </w:p>
        </w:tc>
        <w:tc>
          <w:tcPr>
            <w:tcW w:w="1559" w:type="dxa"/>
            <w:vAlign w:val="center"/>
          </w:tcPr>
          <w:p w14:paraId="557D5211">
            <w:r>
              <w:t>0.0000</w:t>
            </w:r>
          </w:p>
        </w:tc>
        <w:tc>
          <w:tcPr>
            <w:tcW w:w="993" w:type="dxa"/>
            <w:vAlign w:val="center"/>
          </w:tcPr>
          <w:p w14:paraId="1A512BEA">
            <w:r>
              <w:t>0.054</w:t>
            </w:r>
          </w:p>
        </w:tc>
      </w:tr>
      <w:tr w14:paraId="392CBA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6E360691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14:paraId="16E3BB1E">
            <w:r>
              <w:t>110</w:t>
            </w:r>
          </w:p>
        </w:tc>
        <w:tc>
          <w:tcPr>
            <w:tcW w:w="1075" w:type="dxa"/>
            <w:vAlign w:val="center"/>
          </w:tcPr>
          <w:p w14:paraId="4ADDBB0B">
            <w:r>
              <w:t>0.030</w:t>
            </w:r>
          </w:p>
        </w:tc>
        <w:tc>
          <w:tcPr>
            <w:tcW w:w="671" w:type="dxa"/>
            <w:vAlign w:val="center"/>
          </w:tcPr>
          <w:p w14:paraId="507087F6">
            <w:r>
              <w:t>1.10</w:t>
            </w:r>
          </w:p>
        </w:tc>
        <w:tc>
          <w:tcPr>
            <w:tcW w:w="992" w:type="dxa"/>
            <w:vAlign w:val="center"/>
          </w:tcPr>
          <w:p w14:paraId="2D4CF134">
            <w:r>
              <w:t>35.00</w:t>
            </w:r>
          </w:p>
        </w:tc>
        <w:tc>
          <w:tcPr>
            <w:tcW w:w="1559" w:type="dxa"/>
            <w:vAlign w:val="center"/>
          </w:tcPr>
          <w:p w14:paraId="41743E8A">
            <w:r>
              <w:t>0.0000</w:t>
            </w:r>
          </w:p>
        </w:tc>
        <w:tc>
          <w:tcPr>
            <w:tcW w:w="993" w:type="dxa"/>
            <w:vAlign w:val="center"/>
          </w:tcPr>
          <w:p w14:paraId="601BC00D">
            <w:r>
              <w:t>3.333</w:t>
            </w:r>
          </w:p>
        </w:tc>
      </w:tr>
      <w:tr w14:paraId="1BA316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6A520306">
            <w:r>
              <w:t>钢筋混凝土</w:t>
            </w:r>
          </w:p>
        </w:tc>
        <w:tc>
          <w:tcPr>
            <w:tcW w:w="848" w:type="dxa"/>
            <w:vAlign w:val="center"/>
          </w:tcPr>
          <w:p w14:paraId="5781D7A6">
            <w:r>
              <w:t>120</w:t>
            </w:r>
          </w:p>
        </w:tc>
        <w:tc>
          <w:tcPr>
            <w:tcW w:w="1075" w:type="dxa"/>
            <w:vAlign w:val="center"/>
          </w:tcPr>
          <w:p w14:paraId="2BFECF35">
            <w:r>
              <w:t>1.740</w:t>
            </w:r>
          </w:p>
        </w:tc>
        <w:tc>
          <w:tcPr>
            <w:tcW w:w="671" w:type="dxa"/>
            <w:vAlign w:val="center"/>
          </w:tcPr>
          <w:p w14:paraId="404624DB">
            <w:r>
              <w:t>1.00</w:t>
            </w:r>
          </w:p>
        </w:tc>
        <w:tc>
          <w:tcPr>
            <w:tcW w:w="992" w:type="dxa"/>
            <w:vAlign w:val="center"/>
          </w:tcPr>
          <w:p w14:paraId="640C1DCB">
            <w:r>
              <w:t>2500.00</w:t>
            </w:r>
          </w:p>
        </w:tc>
        <w:tc>
          <w:tcPr>
            <w:tcW w:w="1559" w:type="dxa"/>
            <w:vAlign w:val="center"/>
          </w:tcPr>
          <w:p w14:paraId="42DA2394">
            <w:r>
              <w:t>0.0158</w:t>
            </w:r>
          </w:p>
        </w:tc>
        <w:tc>
          <w:tcPr>
            <w:tcW w:w="993" w:type="dxa"/>
            <w:vAlign w:val="center"/>
          </w:tcPr>
          <w:p w14:paraId="581A5EFE">
            <w:r>
              <w:t>0.069</w:t>
            </w:r>
          </w:p>
        </w:tc>
      </w:tr>
      <w:tr w14:paraId="7A03B7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38BD248E">
            <w:r>
              <w:t>石灰水泥砂浆（混合砂浆）</w:t>
            </w:r>
          </w:p>
        </w:tc>
        <w:tc>
          <w:tcPr>
            <w:tcW w:w="848" w:type="dxa"/>
            <w:vAlign w:val="center"/>
          </w:tcPr>
          <w:p w14:paraId="3232480F">
            <w:r>
              <w:t>15</w:t>
            </w:r>
          </w:p>
        </w:tc>
        <w:tc>
          <w:tcPr>
            <w:tcW w:w="1075" w:type="dxa"/>
            <w:vAlign w:val="center"/>
          </w:tcPr>
          <w:p w14:paraId="0386E67F">
            <w:r>
              <w:t>0.870</w:t>
            </w:r>
          </w:p>
        </w:tc>
        <w:tc>
          <w:tcPr>
            <w:tcW w:w="671" w:type="dxa"/>
            <w:vAlign w:val="center"/>
          </w:tcPr>
          <w:p w14:paraId="1725D5D5">
            <w:r>
              <w:t>1.00</w:t>
            </w:r>
          </w:p>
        </w:tc>
        <w:tc>
          <w:tcPr>
            <w:tcW w:w="992" w:type="dxa"/>
            <w:vAlign w:val="center"/>
          </w:tcPr>
          <w:p w14:paraId="7947A530">
            <w:r>
              <w:t>1700.00</w:t>
            </w:r>
          </w:p>
        </w:tc>
        <w:tc>
          <w:tcPr>
            <w:tcW w:w="1559" w:type="dxa"/>
            <w:vAlign w:val="center"/>
          </w:tcPr>
          <w:p w14:paraId="4DC1AEAB">
            <w:r>
              <w:t>0.0975</w:t>
            </w:r>
          </w:p>
        </w:tc>
        <w:tc>
          <w:tcPr>
            <w:tcW w:w="993" w:type="dxa"/>
            <w:vAlign w:val="center"/>
          </w:tcPr>
          <w:p w14:paraId="0398C1D4">
            <w:r>
              <w:t>0.017</w:t>
            </w:r>
          </w:p>
        </w:tc>
      </w:tr>
      <w:bookmarkEnd w:id="56"/>
    </w:tbl>
    <w:p w14:paraId="7B92812E">
      <w:pPr>
        <w:pStyle w:val="3"/>
        <w:ind w:left="1470" w:right="1470"/>
      </w:pPr>
    </w:p>
    <w:p w14:paraId="3E72AD88">
      <w:pPr>
        <w:pStyle w:val="5"/>
      </w:pPr>
      <w:bookmarkStart w:id="57" w:name="_Toc25708"/>
      <w:r>
        <w:rPr>
          <w:rFonts w:hint="eastAsia"/>
        </w:rPr>
        <w:t>冷凝计算界面至围护结构内表面之间的热阻</w:t>
      </w:r>
      <w:r>
        <w:object>
          <v:shape id="_x0000_i1057" o:spt="75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57" DrawAspect="Content" ObjectID="_1468075747" r:id="rId56">
            <o:LockedField>false</o:LockedField>
          </o:OLEObject>
        </w:object>
      </w:r>
      <w:bookmarkEnd w:id="57"/>
    </w:p>
    <w:p w14:paraId="507822EE">
      <w:pPr>
        <w:pStyle w:val="41"/>
      </w:pPr>
      <w:r>
        <w:rPr>
          <w:rFonts w:hint="eastAsia"/>
        </w:rPr>
        <w:t>围护结构冷凝计算界面的位置，应取保温层与外侧密实材料层的交界处。</w:t>
      </w:r>
      <w:r>
        <w:rPr>
          <w:b/>
          <w:bCs/>
        </w:rPr>
        <w:object>
          <v:shape id="_x0000_i1058" o:spt="75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58" DrawAspect="Content" ObjectID="_1468075748" r:id="rId57">
            <o:LockedField>false</o:LockedField>
          </o:OLEObject>
        </w:object>
      </w:r>
      <w:r>
        <w:rPr>
          <w:b/>
          <w:bCs/>
        </w:rPr>
        <w:t>=</w:t>
      </w:r>
      <w:bookmarkStart w:id="58" w:name="R_o_i"/>
      <w:r>
        <w:rPr>
          <w:rFonts w:hint="eastAsia"/>
        </w:rPr>
        <w:t>3.42</w:t>
      </w:r>
      <w:bookmarkEnd w:id="58"/>
    </w:p>
    <w:p w14:paraId="2BE0ED36">
      <w:pPr>
        <w:pStyle w:val="5"/>
        <w:ind w:right="1470"/>
      </w:pPr>
      <w:bookmarkStart w:id="59" w:name="_Toc14376"/>
      <w:r>
        <w:rPr>
          <w:rFonts w:hint="eastAsia"/>
        </w:rPr>
        <w:t>冷凝计算界面温度</w:t>
      </w:r>
      <w:r>
        <w:rPr>
          <w:position w:val="-6"/>
        </w:rPr>
        <w:object>
          <v:shape id="_x0000_i1059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59" DrawAspect="Content" ObjectID="_1468075749" r:id="rId58">
            <o:LockedField>false</o:LockedField>
          </o:OLEObject>
        </w:object>
      </w:r>
      <w:bookmarkEnd w:id="59"/>
    </w:p>
    <w:p w14:paraId="6EF907E8">
      <w:pPr>
        <w:jc w:val="center"/>
      </w:pPr>
      <w:r>
        <w:object>
          <v:shape id="_x0000_i1060" o:spt="75" type="#_x0000_t75" style="height:33pt;width:111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60" DrawAspect="Content" ObjectID="_1468075750" r:id="rId59">
            <o:LockedField>false</o:LockedField>
          </o:OLEObject>
        </w:object>
      </w:r>
    </w:p>
    <w:p w14:paraId="62B14092">
      <w:pPr>
        <w:pStyle w:val="41"/>
      </w:pPr>
      <w:r>
        <w:rPr>
          <w:rFonts w:hint="eastAsia"/>
        </w:rPr>
        <w:t>将</w:t>
      </w:r>
      <w:r>
        <w:t>参数代入上</w:t>
      </w:r>
      <w:r>
        <w:rPr>
          <w:rFonts w:hint="eastAsia" w:eastAsiaTheme="minorEastAsia"/>
          <w:szCs w:val="22"/>
        </w:rPr>
        <w:t>式，</w:t>
      </w:r>
      <w:r>
        <w:rPr>
          <w:position w:val="-6"/>
        </w:rPr>
        <w:object>
          <v:shape id="_x0000_i1061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61" DrawAspect="Content" ObjectID="_1468075751" r:id="rId61">
            <o:LockedField>false</o:LockedField>
          </o:OLEObject>
        </w:object>
      </w:r>
      <w:r>
        <w:t>=</w:t>
      </w:r>
      <w:bookmarkStart w:id="60" w:name="θ_c"/>
      <w:r>
        <w:rPr>
          <w:rFonts w:hint="eastAsia"/>
        </w:rPr>
        <w:t>2.84</w:t>
      </w:r>
      <w:bookmarkEnd w:id="60"/>
    </w:p>
    <w:p w14:paraId="45071374">
      <w:pPr>
        <w:pStyle w:val="5"/>
        <w:ind w:right="1470"/>
      </w:pPr>
      <w:bookmarkStart w:id="61" w:name="_Toc777"/>
      <w:r>
        <w:rPr>
          <w:rStyle w:val="32"/>
          <w:rFonts w:hint="eastAsia"/>
          <w:b/>
          <w:bCs w:val="0"/>
        </w:rPr>
        <w:t>围护结构冷凝受潮验算</w:t>
      </w:r>
      <w:bookmarkEnd w:id="61"/>
    </w:p>
    <w:tbl>
      <w:tblPr>
        <w:tblStyle w:val="20"/>
        <w:tblW w:w="99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8"/>
        <w:gridCol w:w="2693"/>
        <w:gridCol w:w="1374"/>
        <w:gridCol w:w="2737"/>
      </w:tblGrid>
      <w:tr w14:paraId="4E032C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48" w:type="dxa"/>
            <w:vAlign w:val="center"/>
          </w:tcPr>
          <w:p w14:paraId="3B8230FE">
            <w:pPr>
              <w:rPr>
                <w:rFonts w:ascii="宋体" w:hAnsi="宋体"/>
                <w:sz w:val="24"/>
              </w:rPr>
            </w:pPr>
            <w:r>
              <w:rPr>
                <w:position w:val="-6"/>
              </w:rPr>
              <w:object>
                <v:shape id="_x0000_i1062" o:spt="75" type="#_x0000_t75" style="height:13.5pt;width:20.25pt;" o:ole="t" filled="f" o:preferrelative="t" stroked="f" coordsize="21600,21600">
                  <v:path/>
                  <v:fill on="f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52" r:id="rId62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0C9E50AD">
            <w:r>
              <w:rPr>
                <w:position w:val="-6"/>
              </w:rPr>
              <w:object>
                <v:shape id="_x0000_i1063" o:spt="75" type="#_x0000_t75" style="height:13.5pt;width:20.25pt;" o:ole="t" filled="f" o:preferrelative="t" stroked="f" coordsize="21600,21600">
                  <v:path/>
                  <v:fill on="f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53" r:id="rId63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冷凝计算界面内侧实际的蒸汽渗透阻(㎡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4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08C7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C08C7&quot; wsp:rsidP=&quot;004C08C7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2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5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08C7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C08C7&quot; wsp:rsidP=&quot;004C08C7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2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h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1E9A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0A1E9A&quot; wsp:rsidP=&quot;000A1E9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lt;/aml:annotation&gt;&lt;/m:r&gt;&lt;/m:oMath&gt;&lt;/m:oMathPara&gt;&lt;/w:p&gt;&lt;w:sectPr wsp:rsidR=&quot;00000000&quot;&gt;&lt;w:pg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3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7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1E9A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0A1E9A&quot; wsp:rsidP=&quot;000A1E9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lt;/aml:annotation&gt;&lt;/m:r&gt;&lt;/m:oMath&gt;&lt;/m:oMathPara&gt;&lt;/w:p&gt;&lt;w:sectPr wsp:rsidR=&quot;00000000&quot;&gt;&lt;w:pg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3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Pa/g)</w:t>
            </w:r>
          </w:p>
        </w:tc>
        <w:tc>
          <w:tcPr>
            <w:tcW w:w="1374" w:type="dxa"/>
            <w:vAlign w:val="center"/>
          </w:tcPr>
          <w:p w14:paraId="3089AC81">
            <w:pPr>
              <w:jc w:val="center"/>
            </w:pPr>
            <w:bookmarkStart w:id="62" w:name="H_o_i"/>
            <w:r>
              <w:rPr>
                <w:rFonts w:hint="eastAsia"/>
              </w:rPr>
              <w:t>7749</w:t>
            </w:r>
            <w:bookmarkEnd w:id="62"/>
          </w:p>
        </w:tc>
        <w:tc>
          <w:tcPr>
            <w:tcW w:w="2737" w:type="dxa"/>
            <w:vAlign w:val="center"/>
          </w:tcPr>
          <w:p w14:paraId="2CAB986C">
            <w:r>
              <w:rPr>
                <w:rFonts w:hint="eastAsia"/>
              </w:rPr>
              <w:t>应</w:t>
            </w:r>
            <w:r>
              <w:t>≥</w:t>
            </w:r>
            <w:r>
              <w:rPr>
                <w:rFonts w:hint="eastAsia"/>
              </w:rPr>
              <w:t>限值(</w:t>
            </w:r>
            <w:bookmarkStart w:id="63" w:name="H_o_i_l"/>
            <w:r>
              <w:t>1187</w:t>
            </w:r>
            <w:bookmarkEnd w:id="63"/>
            <w:r>
              <w:t>)</w:t>
            </w:r>
          </w:p>
        </w:tc>
      </w:tr>
      <w:tr w14:paraId="5305CE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48" w:type="dxa"/>
            <w:vAlign w:val="center"/>
          </w:tcPr>
          <w:p w14:paraId="6AD38AE1">
            <w:r>
              <w:rPr>
                <w:position w:val="-6"/>
              </w:rPr>
              <w:object>
                <v:shape id="_x0000_i1068" o:spt="75" type="#_x0000_t75" style="height:13.5pt;width:21.7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54" r:id="rId64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5083BFA4">
            <w:r>
              <w:rPr>
                <w:position w:val="-6"/>
              </w:rPr>
              <w:object>
                <v:shape id="_x0000_i1069" o:spt="75" type="#_x0000_t75" style="height:13.5pt;width:21.7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DSMT4" ShapeID="_x0000_i1069" DrawAspect="Content" ObjectID="_1468075755" r:id="rId65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冷凝计算界面至围护结构外表面之间的蒸汽渗透阻(㎡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70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17AD8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17AD8&quot; wsp:rsidP=&quot;00A17AD8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2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71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17AD8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17AD8&quot; wsp:rsidP=&quot;00A17AD8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2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h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72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80181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C80181&quot; wsp:rsidP=&quot;00C80181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lt;/aml:annotation&gt;&lt;/m:r&gt;&lt;/m:oMath&gt;&lt;/m:oMathPara&gt;&lt;/w:p&gt;&lt;w:sectPr wsp:rsidR=&quot;00000000&quot;&gt;&lt;w:pg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3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73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80181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C80181&quot; wsp:rsidP=&quot;00C80181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lt;/aml:annotation&gt;&lt;/m:r&gt;&lt;/m:oMath&gt;&lt;/m:oMathPara&gt;&lt;/w:p&gt;&lt;w:sectPr wsp:rsidR=&quot;00000000&quot;&gt;&lt;w:pg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3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Pa/g)</w:t>
            </w:r>
          </w:p>
        </w:tc>
        <w:tc>
          <w:tcPr>
            <w:tcW w:w="1374" w:type="dxa"/>
            <w:vAlign w:val="center"/>
          </w:tcPr>
          <w:p w14:paraId="695BD19D">
            <w:pPr>
              <w:jc w:val="center"/>
            </w:pPr>
            <w:bookmarkStart w:id="64" w:name="H_o_e"/>
            <w:r>
              <w:rPr>
                <w:rFonts w:hint="eastAsia"/>
              </w:rPr>
              <w:t>1428.57</w:t>
            </w:r>
            <w:bookmarkEnd w:id="64"/>
          </w:p>
        </w:tc>
        <w:tc>
          <w:tcPr>
            <w:tcW w:w="2737" w:type="dxa"/>
            <w:vAlign w:val="center"/>
          </w:tcPr>
          <w:p w14:paraId="0285687A"/>
        </w:tc>
      </w:tr>
      <w:tr w14:paraId="51C848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48" w:type="dxa"/>
            <w:vAlign w:val="center"/>
          </w:tcPr>
          <w:p w14:paraId="20C1E8F0">
            <w:r>
              <w:rPr>
                <w:position w:val="-6"/>
              </w:rPr>
              <w:object>
                <v:shape id="_x0000_i1074" o:spt="75" type="#_x0000_t75" style="height:13.5pt;width:13.5pt;" o:ole="t" filled="f" o:preferrelative="t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DSMT4" ShapeID="_x0000_i1074" DrawAspect="Content" ObjectID="_1468075756" r:id="rId66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4A120FF6">
            <w:r>
              <w:rPr>
                <w:position w:val="-6"/>
              </w:rPr>
              <w:object>
                <v:shape id="_x0000_i1075" o:spt="75" type="#_x0000_t75" style="height:13.5pt;width:13.5pt;" o:ole="t" filled="f" o:preferrelative="t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57" r:id="rId67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室内空气水蒸气分压力(Pa)</w:t>
            </w:r>
          </w:p>
        </w:tc>
        <w:tc>
          <w:tcPr>
            <w:tcW w:w="1374" w:type="dxa"/>
            <w:vAlign w:val="center"/>
          </w:tcPr>
          <w:p w14:paraId="31FB22DD">
            <w:pPr>
              <w:jc w:val="center"/>
            </w:pPr>
            <w:bookmarkStart w:id="65" w:name="Pi"/>
            <w:r>
              <w:rPr>
                <w:rFonts w:hint="eastAsia"/>
              </w:rPr>
              <w:t>1237.20</w:t>
            </w:r>
            <w:bookmarkEnd w:id="65"/>
          </w:p>
        </w:tc>
        <w:tc>
          <w:tcPr>
            <w:tcW w:w="2737" w:type="dxa"/>
            <w:vAlign w:val="center"/>
          </w:tcPr>
          <w:p w14:paraId="0A75519A">
            <w:r>
              <w:rPr>
                <w:rFonts w:hint="eastAsia" w:ascii="宋体" w:cs="宋体"/>
                <w:kern w:val="0"/>
                <w:szCs w:val="21"/>
              </w:rPr>
              <w:t>根据室内计算温度和相对湿度确定。</w:t>
            </w:r>
          </w:p>
        </w:tc>
      </w:tr>
      <w:tr w14:paraId="5110CC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48" w:type="dxa"/>
            <w:vAlign w:val="center"/>
          </w:tcPr>
          <w:p w14:paraId="0B86C2C5">
            <w:r>
              <w:rPr>
                <w:position w:val="-6"/>
              </w:rPr>
              <w:object>
                <v:shape id="_x0000_i1076" o:spt="75" type="#_x0000_t75" style="height:13.5pt;width:15pt;" o:ole="t" filled="f" o:preferrelative="t" stroked="f" coordsize="21600,21600">
                  <v:path/>
                  <v:fill on="f" focussize="0,0"/>
                  <v:stroke on="f" joinstyle="miter"/>
                  <v:imagedata r:id="rId29" o:title="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58" r:id="rId68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4BEAA4CE">
            <w:r>
              <w:rPr>
                <w:position w:val="-6"/>
              </w:rPr>
              <w:object>
                <v:shape id="_x0000_i1077" o:spt="75" type="#_x0000_t75" style="height:13.5pt;width:15pt;" o:ole="t" filled="f" o:preferrelative="t" stroked="f" coordsize="21600,21600">
                  <v:path/>
                  <v:fill on="f" focussize="0,0"/>
                  <v:stroke on="f" joinstyle="miter"/>
                  <v:imagedata r:id="rId29" o:title="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59" r:id="rId69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室外空气水蒸气分压力(Pa)</w:t>
            </w:r>
          </w:p>
        </w:tc>
        <w:tc>
          <w:tcPr>
            <w:tcW w:w="1374" w:type="dxa"/>
            <w:vAlign w:val="center"/>
          </w:tcPr>
          <w:p w14:paraId="03C1573E">
            <w:pPr>
              <w:jc w:val="center"/>
            </w:pPr>
            <w:bookmarkStart w:id="66" w:name="Pe"/>
            <w:r>
              <w:rPr>
                <w:rFonts w:hint="eastAsia"/>
              </w:rPr>
              <w:t>440.32</w:t>
            </w:r>
            <w:bookmarkEnd w:id="66"/>
          </w:p>
        </w:tc>
        <w:tc>
          <w:tcPr>
            <w:tcW w:w="2737" w:type="dxa"/>
            <w:vAlign w:val="center"/>
          </w:tcPr>
          <w:p w14:paraId="2B3CA849">
            <w:r>
              <w:rPr>
                <w:rFonts w:hint="eastAsia" w:ascii="宋体" w:cs="宋体"/>
                <w:kern w:val="0"/>
                <w:szCs w:val="21"/>
              </w:rPr>
              <w:t>根据采暖期</w:t>
            </w:r>
            <w:r>
              <w:rPr>
                <w:rFonts w:ascii="宋体" w:cs="宋体"/>
                <w:kern w:val="0"/>
                <w:szCs w:val="21"/>
              </w:rPr>
              <w:t>室外</w:t>
            </w:r>
            <w:r>
              <w:rPr>
                <w:rFonts w:hint="eastAsia" w:ascii="宋体" w:cs="宋体"/>
                <w:kern w:val="0"/>
                <w:szCs w:val="21"/>
              </w:rPr>
              <w:t>平均</w:t>
            </w:r>
            <w:r>
              <w:rPr>
                <w:rFonts w:ascii="宋体" w:cs="宋体"/>
                <w:kern w:val="0"/>
                <w:szCs w:val="21"/>
              </w:rPr>
              <w:t>温度和平均相对湿度确定。</w:t>
            </w:r>
          </w:p>
        </w:tc>
      </w:tr>
      <w:tr w14:paraId="329718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48" w:type="dxa"/>
            <w:vAlign w:val="center"/>
          </w:tcPr>
          <w:p w14:paraId="0C7A0F93">
            <w:r>
              <w:rPr>
                <w:position w:val="-6"/>
              </w:rPr>
              <w:object>
                <v:shape id="_x0000_i1078" o:spt="75" type="#_x0000_t75" style="height:13.5pt;width:20.25pt;" o:ole="t" filled="f" o:preferrelative="t" stroked="f" coordsize="21600,21600">
                  <v:path/>
                  <v:fill on="f" focussize="0,0"/>
                  <v:stroke on="f" joinstyle="miter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60" r:id="rId70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41B421F7">
            <w:r>
              <w:rPr>
                <w:position w:val="-6"/>
              </w:rPr>
              <w:object>
                <v:shape id="_x0000_i1079" o:spt="75" type="#_x0000_t75" style="height:13.5pt;width:20.25pt;" o:ole="t" filled="f" o:preferrelative="t" stroked="f" coordsize="21600,21600">
                  <v:path/>
                  <v:fill on="f" focussize="0,0"/>
                  <v:stroke on="f" joinstyle="miter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DSMT4" ShapeID="_x0000_i1079" DrawAspect="Content" ObjectID="_1468075761" r:id="rId71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冷凝计算界面处与界面温度</w:t>
            </w:r>
            <w:r>
              <w:rPr>
                <w:rFonts w:ascii="宋体" w:cs="宋体"/>
                <w:kern w:val="0"/>
                <w:position w:val="-6"/>
                <w:szCs w:val="21"/>
              </w:rPr>
              <w:object>
                <v:shape id="_x0000_i1080" o:spt="75" type="#_x0000_t75" style="height:13.5pt;width:13.5pt;" o:ole="t" filled="f" o:preferrelative="t" stroked="f" coordsize="21600,21600">
                  <v:path/>
                  <v:fill on="f" focussize="0,0"/>
                  <v:stroke on="f" joinstyle="miter"/>
                  <v:imagedata r:id="rId33" o:title=""/>
                  <o:lock v:ext="edit" aspectratio="t"/>
                  <w10:wrap type="none"/>
                  <w10:anchorlock/>
                </v:shape>
                <o:OLEObject Type="Embed" ProgID="Equation.DSMT4" ShapeID="_x0000_i1080" DrawAspect="Content" ObjectID="_1468075762" r:id="rId72">
                  <o:LockedField>false</o:LockedField>
                </o:OLEObject>
              </w:object>
            </w:r>
            <w:r>
              <w:rPr>
                <w:rFonts w:asci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cs="宋体"/>
                <w:kern w:val="0"/>
                <w:szCs w:val="21"/>
              </w:rPr>
              <w:t>对应的饱和水蒸气分压力(Pa)</w:t>
            </w:r>
          </w:p>
        </w:tc>
        <w:tc>
          <w:tcPr>
            <w:tcW w:w="1374" w:type="dxa"/>
            <w:vAlign w:val="center"/>
          </w:tcPr>
          <w:p w14:paraId="3687D6F9">
            <w:pPr>
              <w:jc w:val="center"/>
            </w:pPr>
            <w:bookmarkStart w:id="67" w:name="Psc"/>
            <w:r>
              <w:rPr>
                <w:rFonts w:hint="eastAsia"/>
              </w:rPr>
              <w:t>748.81</w:t>
            </w:r>
            <w:bookmarkEnd w:id="67"/>
          </w:p>
        </w:tc>
        <w:tc>
          <w:tcPr>
            <w:tcW w:w="2737" w:type="dxa"/>
            <w:vAlign w:val="center"/>
          </w:tcPr>
          <w:p w14:paraId="144EEAEC"/>
        </w:tc>
      </w:tr>
      <w:tr w14:paraId="5797BD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48" w:type="dxa"/>
            <w:vAlign w:val="center"/>
          </w:tcPr>
          <w:p w14:paraId="699D86B7">
            <w:r>
              <w:rPr>
                <w:position w:val="-10"/>
              </w:rPr>
              <w:object>
                <v:shape id="_x0000_i1081" o:spt="75" type="#_x0000_t75" style="height:13.5pt;width:15pt;" o:ole="t" filled="f" o:preferrelative="t" stroked="f" coordsize="21600,21600">
                  <v:path/>
                  <v:fill on="f" focussize="0,0"/>
                  <v:stroke on="f" joinstyle="miter"/>
                  <v:imagedata r:id="rId35" o:title=""/>
                  <o:lock v:ext="edit" aspectratio="t"/>
                  <w10:wrap type="none"/>
                  <w10:anchorlock/>
                </v:shape>
                <o:OLEObject Type="Embed" ProgID="Equation.DSMT4" ShapeID="_x0000_i1081" DrawAspect="Content" ObjectID="_1468075763" r:id="rId73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5B461C2E">
            <w:r>
              <w:rPr>
                <w:position w:val="-10"/>
              </w:rPr>
              <w:object>
                <v:shape id="_x0000_i1082" o:spt="75" type="#_x0000_t75" style="height:13.5pt;width:15pt;" o:ole="t" filled="f" o:preferrelative="t" stroked="f" coordsize="21600,21600">
                  <v:path/>
                  <v:fill on="f" focussize="0,0"/>
                  <v:stroke on="f" joinstyle="miter"/>
                  <v:imagedata r:id="rId35" o:title=""/>
                  <o:lock v:ext="edit" aspectratio="t"/>
                  <w10:wrap type="none"/>
                  <w10:anchorlock/>
                </v:shape>
                <o:OLEObject Type="Embed" ProgID="Equation.DSMT4" ShapeID="_x0000_i1082" DrawAspect="Content" ObjectID="_1468075764" r:id="rId74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保温材料的干密度(kg/m</w:t>
            </w:r>
            <w:r>
              <w:rPr>
                <w:rFonts w:hint="eastAsia" w:ascii="宋体" w:cs="宋体"/>
                <w:kern w:val="0"/>
                <w:szCs w:val="21"/>
                <w:vertAlign w:val="superscript"/>
              </w:rPr>
              <w:t>3</w:t>
            </w:r>
            <w:r>
              <w:rPr>
                <w:rFonts w:hint="eastAsia" w:ascii="宋体" w:cs="宋体"/>
                <w:kern w:val="0"/>
                <w:szCs w:val="21"/>
              </w:rPr>
              <w:t>)</w:t>
            </w:r>
          </w:p>
        </w:tc>
        <w:tc>
          <w:tcPr>
            <w:tcW w:w="1374" w:type="dxa"/>
            <w:vAlign w:val="center"/>
          </w:tcPr>
          <w:p w14:paraId="2BB3FAA9">
            <w:pPr>
              <w:jc w:val="center"/>
            </w:pPr>
            <w:bookmarkStart w:id="68" w:name="ρ"/>
            <w:r>
              <w:rPr>
                <w:rFonts w:hint="eastAsia"/>
              </w:rPr>
              <w:t>35.00</w:t>
            </w:r>
            <w:bookmarkEnd w:id="68"/>
          </w:p>
        </w:tc>
        <w:tc>
          <w:tcPr>
            <w:tcW w:w="2737" w:type="dxa"/>
            <w:vAlign w:val="center"/>
          </w:tcPr>
          <w:p w14:paraId="32A3F917"/>
        </w:tc>
      </w:tr>
      <w:tr w14:paraId="374AFC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48" w:type="dxa"/>
          </w:tcPr>
          <w:p w14:paraId="733D53F2">
            <w:r>
              <w:rPr>
                <w:position w:val="-6"/>
              </w:rPr>
              <w:object>
                <v:shape id="_x0000_i1083" o:spt="75" type="#_x0000_t75" style="height:13.5pt;width:13.5pt;" o:ole="t" filled="f" o:preferrelative="t" stroked="f" coordsize="21600,21600">
                  <v:path/>
                  <v:fill on="f" focussize="0,0"/>
                  <v:stroke on="f" joinstyle="miter"/>
                  <v:imagedata r:id="rId37" o:title=""/>
                  <o:lock v:ext="edit" aspectratio="t"/>
                  <w10:wrap type="none"/>
                  <w10:anchorlock/>
                </v:shape>
                <o:OLEObject Type="Embed" ProgID="Equation.DSMT4" ShapeID="_x0000_i1083" DrawAspect="Content" ObjectID="_1468075765" r:id="rId75">
                  <o:LockedField>false</o:LockedField>
                </o:OLEObject>
              </w:object>
            </w:r>
          </w:p>
        </w:tc>
        <w:tc>
          <w:tcPr>
            <w:tcW w:w="2693" w:type="dxa"/>
          </w:tcPr>
          <w:p w14:paraId="12CA6726">
            <w:r>
              <w:rPr>
                <w:position w:val="-6"/>
              </w:rPr>
              <w:object>
                <v:shape id="_x0000_i1084" o:spt="75" type="#_x0000_t75" style="height:13.5pt;width:13.5pt;" o:ole="t" filled="f" o:preferrelative="t" stroked="f" coordsize="21600,21600">
                  <v:path/>
                  <v:fill on="f" focussize="0,0"/>
                  <v:stroke on="f" joinstyle="miter"/>
                  <v:imagedata r:id="rId37" o:title=""/>
                  <o:lock v:ext="edit" aspectratio="t"/>
                  <w10:wrap type="none"/>
                  <w10:anchorlock/>
                </v:shape>
                <o:OLEObject Type="Embed" ProgID="Equation.DSMT4" ShapeID="_x0000_i1084" DrawAspect="Content" ObjectID="_1468075766" r:id="rId76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保温材料厚度(m)</w:t>
            </w:r>
          </w:p>
        </w:tc>
        <w:tc>
          <w:tcPr>
            <w:tcW w:w="1374" w:type="dxa"/>
            <w:vAlign w:val="center"/>
          </w:tcPr>
          <w:p w14:paraId="79E3D692">
            <w:pPr>
              <w:jc w:val="center"/>
            </w:pPr>
            <w:bookmarkStart w:id="69" w:name="δi"/>
            <w:r>
              <w:rPr>
                <w:rFonts w:hint="eastAsia"/>
              </w:rPr>
              <w:t>0.11</w:t>
            </w:r>
            <w:bookmarkEnd w:id="69"/>
          </w:p>
        </w:tc>
        <w:tc>
          <w:tcPr>
            <w:tcW w:w="2737" w:type="dxa"/>
            <w:vAlign w:val="center"/>
          </w:tcPr>
          <w:p w14:paraId="34ABA0F7"/>
        </w:tc>
      </w:tr>
      <w:tr w14:paraId="04D7BE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48" w:type="dxa"/>
            <w:vAlign w:val="center"/>
          </w:tcPr>
          <w:p w14:paraId="52C09DC7">
            <w:r>
              <w:rPr>
                <w:position w:val="-28"/>
              </w:rPr>
              <w:object>
                <v:shape id="_x0000_i1085" o:spt="75" type="#_x0000_t75" style="height:43.5pt;width:142.5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DSMT4" ShapeID="_x0000_i1085" DrawAspect="Content" ObjectID="_1468075767" r:id="rId77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4271D042">
            <w:r>
              <w:rPr>
                <w:position w:val="-10"/>
              </w:rPr>
              <w:object>
                <v:shape id="_x0000_i1086" o:spt="75" type="#_x0000_t75" style="height:16.5pt;width:24.75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DSMT4" ShapeID="_x0000_i1086" DrawAspect="Content" ObjectID="_1468075768" r:id="rId78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采暖期间保温材料重量湿度的增量(%)</w:t>
            </w:r>
          </w:p>
        </w:tc>
        <w:tc>
          <w:tcPr>
            <w:tcW w:w="1374" w:type="dxa"/>
            <w:vAlign w:val="center"/>
          </w:tcPr>
          <w:p w14:paraId="234F3C36">
            <w:pPr>
              <w:jc w:val="center"/>
            </w:pPr>
            <w:bookmarkStart w:id="70" w:name="ω_l"/>
            <w:r>
              <w:rPr>
                <w:rFonts w:hint="eastAsia"/>
              </w:rPr>
              <w:t>0.00</w:t>
            </w:r>
            <w:bookmarkEnd w:id="70"/>
          </w:p>
        </w:tc>
        <w:tc>
          <w:tcPr>
            <w:tcW w:w="2737" w:type="dxa"/>
            <w:vAlign w:val="center"/>
          </w:tcPr>
          <w:p w14:paraId="31C59AFE">
            <w:r>
              <w:rPr>
                <w:rFonts w:hint="eastAsia"/>
              </w:rPr>
              <w:t>应≤增量限值</w:t>
            </w:r>
            <w:r>
              <w:rPr>
                <w:rFonts w:hint="eastAsia" w:ascii="宋体" w:cs="宋体"/>
                <w:kern w:val="0"/>
                <w:szCs w:val="21"/>
              </w:rPr>
              <w:t>(%)</w:t>
            </w:r>
            <w:r>
              <w:rPr>
                <w:rFonts w:hint="eastAsia"/>
              </w:rPr>
              <w:t>=</w:t>
            </w:r>
            <w:bookmarkStart w:id="71" w:name="ω"/>
            <w:r>
              <w:rPr>
                <w:rFonts w:hint="eastAsia"/>
              </w:rPr>
              <w:t>10.00</w:t>
            </w:r>
            <w:bookmarkEnd w:id="71"/>
          </w:p>
        </w:tc>
      </w:tr>
    </w:tbl>
    <w:p w14:paraId="63BA6908">
      <w:pPr>
        <w:widowControl/>
        <w:jc w:val="left"/>
      </w:pPr>
    </w:p>
    <w:bookmarkEnd w:id="55"/>
    <w:p w14:paraId="015C399E">
      <w:pPr>
        <w:pStyle w:val="2"/>
        <w:widowControl/>
        <w:jc w:val="left"/>
      </w:pPr>
      <w:bookmarkStart w:id="72" w:name="_Toc18265"/>
      <w:r>
        <w:t>验算结论</w:t>
      </w:r>
      <w:bookmarkEnd w:id="72"/>
    </w:p>
    <w:tbl>
      <w:tblPr>
        <w:tblStyle w:val="20"/>
        <w:tblW w:w="928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4245"/>
        <w:gridCol w:w="707"/>
        <w:gridCol w:w="707"/>
        <w:gridCol w:w="848"/>
        <w:gridCol w:w="848"/>
        <w:gridCol w:w="832"/>
      </w:tblGrid>
      <w:tr w14:paraId="356F68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DEDEDE"/>
            <w:vAlign w:val="center"/>
          </w:tcPr>
          <w:p w14:paraId="2F873C03">
            <w:r>
              <w:t>类型</w:t>
            </w:r>
          </w:p>
        </w:tc>
        <w:tc>
          <w:tcPr>
            <w:shd w:val="clear" w:color="auto" w:fill="DEDEDE"/>
            <w:vAlign w:val="center"/>
          </w:tcPr>
          <w:p w14:paraId="089C1682">
            <w:r>
              <w:t>构造</w:t>
            </w:r>
          </w:p>
        </w:tc>
        <w:tc>
          <w:tcPr>
            <w:shd w:val="clear" w:color="auto" w:fill="DEDEDE"/>
            <w:vAlign w:val="center"/>
          </w:tcPr>
          <w:p w14:paraId="7E338426">
            <w:r>
              <w:t>增量</w:t>
            </w:r>
            <w:r>
              <w:br w:type="textWrapping"/>
            </w:r>
            <w:r>
              <w:t>限值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DEDEDE"/>
            <w:vAlign w:val="center"/>
          </w:tcPr>
          <w:p w14:paraId="41BA7D45">
            <w:r>
              <w:t>实际</w:t>
            </w:r>
            <w:r>
              <w:br w:type="textWrapping"/>
            </w:r>
            <w:r>
              <w:t>增量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DEDEDE"/>
            <w:vAlign w:val="center"/>
          </w:tcPr>
          <w:p w14:paraId="64F969F2">
            <w:r>
              <w:t>内侧蒸</w:t>
            </w:r>
            <w:r>
              <w:br w:type="textWrapping"/>
            </w:r>
            <w:r>
              <w:t>汽渗透</w:t>
            </w:r>
            <w:r>
              <w:br w:type="textWrapping"/>
            </w:r>
            <w:r>
              <w:t>阻限值</w:t>
            </w:r>
          </w:p>
        </w:tc>
        <w:tc>
          <w:tcPr>
            <w:shd w:val="clear" w:color="auto" w:fill="DEDEDE"/>
            <w:vAlign w:val="center"/>
          </w:tcPr>
          <w:p w14:paraId="043814D6">
            <w:r>
              <w:t>内侧蒸</w:t>
            </w:r>
            <w:r>
              <w:br w:type="textWrapping"/>
            </w:r>
            <w:r>
              <w:t>汽渗透</w:t>
            </w:r>
            <w:r>
              <w:br w:type="textWrapping"/>
            </w:r>
            <w:r>
              <w:t>阻</w:t>
            </w:r>
          </w:p>
        </w:tc>
        <w:tc>
          <w:tcPr>
            <w:shd w:val="clear" w:color="auto" w:fill="DEDEDE"/>
            <w:vAlign w:val="center"/>
          </w:tcPr>
          <w:p w14:paraId="01D2DC06">
            <w:r>
              <w:t>结论</w:t>
            </w:r>
          </w:p>
        </w:tc>
      </w:tr>
      <w:tr w14:paraId="1E05BF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4023299">
            <w:r>
              <w:t>屋顶</w:t>
            </w:r>
          </w:p>
        </w:tc>
        <w:tc>
          <w:tcPr>
            <w:vAlign w:val="center"/>
          </w:tcPr>
          <w:p w14:paraId="49FD4067">
            <w:r>
              <w:t>屋顶构造一</w:t>
            </w:r>
          </w:p>
        </w:tc>
        <w:tc>
          <w:tcPr>
            <w:vAlign w:val="center"/>
          </w:tcPr>
          <w:p w14:paraId="285CC28D">
            <w:r>
              <w:t>10</w:t>
            </w:r>
          </w:p>
        </w:tc>
        <w:tc>
          <w:tcPr>
            <w:vAlign w:val="center"/>
          </w:tcPr>
          <w:p w14:paraId="1F74656B">
            <w:r>
              <w:t>0</w:t>
            </w:r>
          </w:p>
        </w:tc>
        <w:tc>
          <w:tcPr>
            <w:vAlign w:val="center"/>
          </w:tcPr>
          <w:p w14:paraId="5F57FBB2">
            <w:r>
              <w:t>1187</w:t>
            </w:r>
          </w:p>
        </w:tc>
        <w:tc>
          <w:tcPr>
            <w:vAlign w:val="center"/>
          </w:tcPr>
          <w:p w14:paraId="2218ACA0">
            <w:r>
              <w:t>7749</w:t>
            </w:r>
          </w:p>
        </w:tc>
        <w:tc>
          <w:tcPr>
            <w:vAlign w:val="center"/>
          </w:tcPr>
          <w:p w14:paraId="7309ED07">
            <w:r>
              <w:t>满足</w:t>
            </w:r>
          </w:p>
        </w:tc>
      </w:tr>
    </w:tbl>
    <w:p w14:paraId="3E46D5FE">
      <w:pPr>
        <w:widowControl/>
        <w:jc w:val="left"/>
      </w:pPr>
    </w:p>
    <w:sectPr>
      <w:headerReference r:id="rId3" w:type="default"/>
      <w:footerReference r:id="rId4" w:type="default"/>
      <w:pgSz w:w="11906" w:h="16838"/>
      <w:pgMar w:top="1440" w:right="1440" w:bottom="1440" w:left="144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D1561">
    <w:pPr>
      <w:pStyle w:val="15"/>
      <w:jc w:val="center"/>
    </w:pPr>
    <w:r>
      <w:rPr>
        <w:rFonts w:hint="eastAsia" w:ascii="宋体" w:hAnsi="宋体"/>
        <w:sz w:val="21"/>
        <w:szCs w:val="21"/>
      </w:rPr>
      <w:t xml:space="preserve">第 </w:t>
    </w:r>
    <w:r>
      <w:rPr>
        <w:rStyle w:val="23"/>
        <w:rFonts w:ascii="宋体" w:hAnsi="宋体"/>
        <w:sz w:val="21"/>
        <w:szCs w:val="21"/>
      </w:rPr>
      <w:fldChar w:fldCharType="begin"/>
    </w:r>
    <w:r>
      <w:rPr>
        <w:rStyle w:val="23"/>
        <w:rFonts w:ascii="宋体" w:hAnsi="宋体"/>
        <w:sz w:val="21"/>
        <w:szCs w:val="21"/>
      </w:rPr>
      <w:instrText xml:space="preserve"> PAGE </w:instrText>
    </w:r>
    <w:r>
      <w:rPr>
        <w:rStyle w:val="23"/>
        <w:rFonts w:ascii="宋体" w:hAnsi="宋体"/>
        <w:sz w:val="21"/>
        <w:szCs w:val="21"/>
      </w:rPr>
      <w:fldChar w:fldCharType="separate"/>
    </w:r>
    <w:r>
      <w:rPr>
        <w:rStyle w:val="23"/>
        <w:rFonts w:ascii="宋体" w:hAnsi="宋体"/>
        <w:sz w:val="21"/>
        <w:szCs w:val="21"/>
      </w:rPr>
      <w:t>4</w:t>
    </w:r>
    <w:r>
      <w:rPr>
        <w:rStyle w:val="23"/>
        <w:rFonts w:ascii="宋体" w:hAnsi="宋体"/>
        <w:sz w:val="21"/>
        <w:szCs w:val="21"/>
      </w:rPr>
      <w:fldChar w:fldCharType="end"/>
    </w:r>
    <w:r>
      <w:rPr>
        <w:rStyle w:val="23"/>
        <w:rFonts w:hint="eastAsia" w:ascii="宋体" w:hAnsi="宋体"/>
        <w:sz w:val="21"/>
        <w:szCs w:val="21"/>
      </w:rPr>
      <w:t xml:space="preserve"> / </w:t>
    </w:r>
    <w:r>
      <w:rPr>
        <w:rStyle w:val="23"/>
        <w:rFonts w:ascii="宋体" w:hAnsi="宋体"/>
        <w:sz w:val="21"/>
        <w:szCs w:val="21"/>
      </w:rPr>
      <w:fldChar w:fldCharType="begin"/>
    </w:r>
    <w:r>
      <w:rPr>
        <w:rStyle w:val="23"/>
        <w:rFonts w:ascii="宋体" w:hAnsi="宋体"/>
        <w:sz w:val="21"/>
        <w:szCs w:val="21"/>
      </w:rPr>
      <w:instrText xml:space="preserve"> NUMPAGES </w:instrText>
    </w:r>
    <w:r>
      <w:rPr>
        <w:rStyle w:val="23"/>
        <w:rFonts w:ascii="宋体" w:hAnsi="宋体"/>
        <w:sz w:val="21"/>
        <w:szCs w:val="21"/>
      </w:rPr>
      <w:fldChar w:fldCharType="separate"/>
    </w:r>
    <w:r>
      <w:rPr>
        <w:rStyle w:val="23"/>
        <w:rFonts w:ascii="宋体" w:hAnsi="宋体"/>
        <w:sz w:val="21"/>
        <w:szCs w:val="21"/>
      </w:rPr>
      <w:t>5</w:t>
    </w:r>
    <w:r>
      <w:rPr>
        <w:rStyle w:val="23"/>
        <w:rFonts w:ascii="宋体" w:hAnsi="宋体"/>
        <w:sz w:val="21"/>
        <w:szCs w:val="21"/>
      </w:rPr>
      <w:fldChar w:fldCharType="end"/>
    </w:r>
    <w:r>
      <w:rPr>
        <w:rStyle w:val="23"/>
        <w:rFonts w:hint="eastAsia" w:ascii="宋体" w:hAnsi="宋体"/>
        <w:sz w:val="21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FD321">
    <w:pPr>
      <w:pStyle w:val="16"/>
      <w:jc w:val="both"/>
    </w:pPr>
    <w:r>
      <w:drawing>
        <wp:inline distT="0" distB="0" distL="0" distR="0">
          <wp:extent cx="857250" cy="161925"/>
          <wp:effectExtent l="0" t="0" r="0" b="0"/>
          <wp:docPr id="61" name="图片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图片 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7250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4M2Y2OTczNTQ5NzMwMDBlYWI4NTNiYzk5MThkY2UifQ=="/>
  </w:docVars>
  <w:rsids>
    <w:rsidRoot w:val="43D34F25"/>
    <w:rsid w:val="00006B6F"/>
    <w:rsid w:val="00006D9D"/>
    <w:rsid w:val="0000769E"/>
    <w:rsid w:val="00012F68"/>
    <w:rsid w:val="00014DB8"/>
    <w:rsid w:val="00042D27"/>
    <w:rsid w:val="00042FAF"/>
    <w:rsid w:val="00046531"/>
    <w:rsid w:val="00056D82"/>
    <w:rsid w:val="000571B1"/>
    <w:rsid w:val="000631C6"/>
    <w:rsid w:val="00064694"/>
    <w:rsid w:val="00065057"/>
    <w:rsid w:val="000651CF"/>
    <w:rsid w:val="00072606"/>
    <w:rsid w:val="00075D28"/>
    <w:rsid w:val="00090856"/>
    <w:rsid w:val="00091778"/>
    <w:rsid w:val="0009767D"/>
    <w:rsid w:val="000A2E66"/>
    <w:rsid w:val="000B0926"/>
    <w:rsid w:val="000B176F"/>
    <w:rsid w:val="000B2704"/>
    <w:rsid w:val="000B2C23"/>
    <w:rsid w:val="000B701F"/>
    <w:rsid w:val="000B7039"/>
    <w:rsid w:val="000D642C"/>
    <w:rsid w:val="000E3800"/>
    <w:rsid w:val="000E4E4E"/>
    <w:rsid w:val="000E5450"/>
    <w:rsid w:val="000F15E2"/>
    <w:rsid w:val="000F338B"/>
    <w:rsid w:val="000F48DF"/>
    <w:rsid w:val="000F5B88"/>
    <w:rsid w:val="001009AE"/>
    <w:rsid w:val="00116DB2"/>
    <w:rsid w:val="00117F3E"/>
    <w:rsid w:val="00124491"/>
    <w:rsid w:val="001577F0"/>
    <w:rsid w:val="001611A7"/>
    <w:rsid w:val="00161E2D"/>
    <w:rsid w:val="00162EF0"/>
    <w:rsid w:val="00171BFE"/>
    <w:rsid w:val="0017677D"/>
    <w:rsid w:val="001814D3"/>
    <w:rsid w:val="001828CC"/>
    <w:rsid w:val="00184C94"/>
    <w:rsid w:val="00186508"/>
    <w:rsid w:val="00191451"/>
    <w:rsid w:val="001937AD"/>
    <w:rsid w:val="0019614D"/>
    <w:rsid w:val="001A36CC"/>
    <w:rsid w:val="001A387C"/>
    <w:rsid w:val="001B6C9B"/>
    <w:rsid w:val="001B7877"/>
    <w:rsid w:val="001C00E7"/>
    <w:rsid w:val="001C5A7B"/>
    <w:rsid w:val="001E4004"/>
    <w:rsid w:val="001F3390"/>
    <w:rsid w:val="001F4F6C"/>
    <w:rsid w:val="00231194"/>
    <w:rsid w:val="0024070B"/>
    <w:rsid w:val="00240EC2"/>
    <w:rsid w:val="0027727F"/>
    <w:rsid w:val="00282DF5"/>
    <w:rsid w:val="002A5E42"/>
    <w:rsid w:val="002B2C77"/>
    <w:rsid w:val="002B5E55"/>
    <w:rsid w:val="002B76E4"/>
    <w:rsid w:val="002D6B2F"/>
    <w:rsid w:val="002E1B9B"/>
    <w:rsid w:val="0030652E"/>
    <w:rsid w:val="003124C0"/>
    <w:rsid w:val="003200B7"/>
    <w:rsid w:val="00332516"/>
    <w:rsid w:val="003344E6"/>
    <w:rsid w:val="003409F3"/>
    <w:rsid w:val="00345CB2"/>
    <w:rsid w:val="00345E18"/>
    <w:rsid w:val="00347F24"/>
    <w:rsid w:val="0035328F"/>
    <w:rsid w:val="00353501"/>
    <w:rsid w:val="00376607"/>
    <w:rsid w:val="00377277"/>
    <w:rsid w:val="00386168"/>
    <w:rsid w:val="003939B0"/>
    <w:rsid w:val="003A69B5"/>
    <w:rsid w:val="003A6EFB"/>
    <w:rsid w:val="003B6F8A"/>
    <w:rsid w:val="003C2C73"/>
    <w:rsid w:val="003E5517"/>
    <w:rsid w:val="003E5ABA"/>
    <w:rsid w:val="003F135F"/>
    <w:rsid w:val="003F6427"/>
    <w:rsid w:val="00400FD8"/>
    <w:rsid w:val="004300F4"/>
    <w:rsid w:val="00430148"/>
    <w:rsid w:val="00431405"/>
    <w:rsid w:val="00447C20"/>
    <w:rsid w:val="00452E2F"/>
    <w:rsid w:val="004556B3"/>
    <w:rsid w:val="00464AC4"/>
    <w:rsid w:val="00467230"/>
    <w:rsid w:val="0049117E"/>
    <w:rsid w:val="00491C89"/>
    <w:rsid w:val="00495EFD"/>
    <w:rsid w:val="004A676E"/>
    <w:rsid w:val="004B1BD3"/>
    <w:rsid w:val="004B23B8"/>
    <w:rsid w:val="004B2B00"/>
    <w:rsid w:val="004B5CEB"/>
    <w:rsid w:val="004C2C08"/>
    <w:rsid w:val="004C416D"/>
    <w:rsid w:val="004C772F"/>
    <w:rsid w:val="004C7C6B"/>
    <w:rsid w:val="004D29C2"/>
    <w:rsid w:val="004E31C9"/>
    <w:rsid w:val="004E53B8"/>
    <w:rsid w:val="004F6757"/>
    <w:rsid w:val="005012CD"/>
    <w:rsid w:val="00504D39"/>
    <w:rsid w:val="0050552D"/>
    <w:rsid w:val="00517E63"/>
    <w:rsid w:val="00526363"/>
    <w:rsid w:val="00526D45"/>
    <w:rsid w:val="0054289E"/>
    <w:rsid w:val="0054622F"/>
    <w:rsid w:val="00546897"/>
    <w:rsid w:val="0055562B"/>
    <w:rsid w:val="00557942"/>
    <w:rsid w:val="00560157"/>
    <w:rsid w:val="00567B03"/>
    <w:rsid w:val="005734B3"/>
    <w:rsid w:val="00574037"/>
    <w:rsid w:val="005A30A0"/>
    <w:rsid w:val="005A4C09"/>
    <w:rsid w:val="005A6A34"/>
    <w:rsid w:val="005B01B5"/>
    <w:rsid w:val="005B73FD"/>
    <w:rsid w:val="005E215F"/>
    <w:rsid w:val="0060196C"/>
    <w:rsid w:val="00601C56"/>
    <w:rsid w:val="00606705"/>
    <w:rsid w:val="006134C5"/>
    <w:rsid w:val="00635599"/>
    <w:rsid w:val="00635CEC"/>
    <w:rsid w:val="0063600F"/>
    <w:rsid w:val="00640D3D"/>
    <w:rsid w:val="006648EC"/>
    <w:rsid w:val="00673F68"/>
    <w:rsid w:val="00674D10"/>
    <w:rsid w:val="00685502"/>
    <w:rsid w:val="00693E06"/>
    <w:rsid w:val="006A7613"/>
    <w:rsid w:val="006B7EC3"/>
    <w:rsid w:val="006C2E11"/>
    <w:rsid w:val="006C56DD"/>
    <w:rsid w:val="006E0F6C"/>
    <w:rsid w:val="006E678B"/>
    <w:rsid w:val="006F3495"/>
    <w:rsid w:val="00707167"/>
    <w:rsid w:val="00707791"/>
    <w:rsid w:val="0071259B"/>
    <w:rsid w:val="00715DF4"/>
    <w:rsid w:val="007171C5"/>
    <w:rsid w:val="00721641"/>
    <w:rsid w:val="00725F84"/>
    <w:rsid w:val="00730C7D"/>
    <w:rsid w:val="00762CFD"/>
    <w:rsid w:val="00772865"/>
    <w:rsid w:val="00777E12"/>
    <w:rsid w:val="00790E85"/>
    <w:rsid w:val="007932A0"/>
    <w:rsid w:val="00793AE2"/>
    <w:rsid w:val="007952C1"/>
    <w:rsid w:val="00797A21"/>
    <w:rsid w:val="007A09EA"/>
    <w:rsid w:val="007A7477"/>
    <w:rsid w:val="007B43E2"/>
    <w:rsid w:val="007C04EA"/>
    <w:rsid w:val="007C13FF"/>
    <w:rsid w:val="007D442D"/>
    <w:rsid w:val="007E3CEE"/>
    <w:rsid w:val="007F3558"/>
    <w:rsid w:val="007F36C4"/>
    <w:rsid w:val="00800874"/>
    <w:rsid w:val="00804FEA"/>
    <w:rsid w:val="0083156B"/>
    <w:rsid w:val="00841D90"/>
    <w:rsid w:val="00843DEA"/>
    <w:rsid w:val="0084571F"/>
    <w:rsid w:val="008469FD"/>
    <w:rsid w:val="0085517B"/>
    <w:rsid w:val="0086069E"/>
    <w:rsid w:val="00860C37"/>
    <w:rsid w:val="00862221"/>
    <w:rsid w:val="00873755"/>
    <w:rsid w:val="00894904"/>
    <w:rsid w:val="0089552D"/>
    <w:rsid w:val="008A6C16"/>
    <w:rsid w:val="008C68C6"/>
    <w:rsid w:val="008E5546"/>
    <w:rsid w:val="008F04DC"/>
    <w:rsid w:val="008F15DA"/>
    <w:rsid w:val="008F3FF5"/>
    <w:rsid w:val="008F4BB6"/>
    <w:rsid w:val="008F7783"/>
    <w:rsid w:val="0092041B"/>
    <w:rsid w:val="00921307"/>
    <w:rsid w:val="00935543"/>
    <w:rsid w:val="009401C7"/>
    <w:rsid w:val="009470F7"/>
    <w:rsid w:val="00960A51"/>
    <w:rsid w:val="00960FE3"/>
    <w:rsid w:val="00970E7C"/>
    <w:rsid w:val="00971DC8"/>
    <w:rsid w:val="00985896"/>
    <w:rsid w:val="00986B99"/>
    <w:rsid w:val="00986DEF"/>
    <w:rsid w:val="00990A57"/>
    <w:rsid w:val="00990A5C"/>
    <w:rsid w:val="009A5331"/>
    <w:rsid w:val="009B0725"/>
    <w:rsid w:val="009B3DE3"/>
    <w:rsid w:val="009B7375"/>
    <w:rsid w:val="009C5F4B"/>
    <w:rsid w:val="009D11E5"/>
    <w:rsid w:val="009D2B26"/>
    <w:rsid w:val="009E761F"/>
    <w:rsid w:val="00A0563B"/>
    <w:rsid w:val="00A32761"/>
    <w:rsid w:val="00A351F6"/>
    <w:rsid w:val="00A454B0"/>
    <w:rsid w:val="00A57369"/>
    <w:rsid w:val="00A63B8E"/>
    <w:rsid w:val="00A63FAA"/>
    <w:rsid w:val="00A64605"/>
    <w:rsid w:val="00A84E26"/>
    <w:rsid w:val="00A906F7"/>
    <w:rsid w:val="00A924CF"/>
    <w:rsid w:val="00A92962"/>
    <w:rsid w:val="00A97E4F"/>
    <w:rsid w:val="00AA656C"/>
    <w:rsid w:val="00AB03BE"/>
    <w:rsid w:val="00AB4689"/>
    <w:rsid w:val="00AB713E"/>
    <w:rsid w:val="00AB7A40"/>
    <w:rsid w:val="00AC1527"/>
    <w:rsid w:val="00AC7E8F"/>
    <w:rsid w:val="00AD4B59"/>
    <w:rsid w:val="00AE0113"/>
    <w:rsid w:val="00AF1110"/>
    <w:rsid w:val="00B06145"/>
    <w:rsid w:val="00B12132"/>
    <w:rsid w:val="00B16E92"/>
    <w:rsid w:val="00B227E6"/>
    <w:rsid w:val="00B23996"/>
    <w:rsid w:val="00B35129"/>
    <w:rsid w:val="00B505F2"/>
    <w:rsid w:val="00B512B1"/>
    <w:rsid w:val="00B52CF8"/>
    <w:rsid w:val="00B5734A"/>
    <w:rsid w:val="00B63B08"/>
    <w:rsid w:val="00B658C0"/>
    <w:rsid w:val="00B801D9"/>
    <w:rsid w:val="00B8711B"/>
    <w:rsid w:val="00B905F7"/>
    <w:rsid w:val="00B970F9"/>
    <w:rsid w:val="00BA0784"/>
    <w:rsid w:val="00BA0B17"/>
    <w:rsid w:val="00BA56E7"/>
    <w:rsid w:val="00BC7076"/>
    <w:rsid w:val="00BD0D2A"/>
    <w:rsid w:val="00BE2D61"/>
    <w:rsid w:val="00BF59AD"/>
    <w:rsid w:val="00C011AF"/>
    <w:rsid w:val="00C026F3"/>
    <w:rsid w:val="00C054D0"/>
    <w:rsid w:val="00C10401"/>
    <w:rsid w:val="00C20461"/>
    <w:rsid w:val="00C34844"/>
    <w:rsid w:val="00C36178"/>
    <w:rsid w:val="00C60674"/>
    <w:rsid w:val="00C60D5D"/>
    <w:rsid w:val="00C66112"/>
    <w:rsid w:val="00C74B78"/>
    <w:rsid w:val="00C76F5A"/>
    <w:rsid w:val="00C92C5B"/>
    <w:rsid w:val="00C950E1"/>
    <w:rsid w:val="00CC0E59"/>
    <w:rsid w:val="00CC0FB4"/>
    <w:rsid w:val="00CC3455"/>
    <w:rsid w:val="00CD654D"/>
    <w:rsid w:val="00CE04F8"/>
    <w:rsid w:val="00CE2E0D"/>
    <w:rsid w:val="00CE509A"/>
    <w:rsid w:val="00D008BF"/>
    <w:rsid w:val="00D03943"/>
    <w:rsid w:val="00D10A97"/>
    <w:rsid w:val="00D1757D"/>
    <w:rsid w:val="00D45640"/>
    <w:rsid w:val="00D46BD1"/>
    <w:rsid w:val="00D47A95"/>
    <w:rsid w:val="00D528E7"/>
    <w:rsid w:val="00D55050"/>
    <w:rsid w:val="00D562E0"/>
    <w:rsid w:val="00D60B8C"/>
    <w:rsid w:val="00D60BFB"/>
    <w:rsid w:val="00D62D4B"/>
    <w:rsid w:val="00D7656E"/>
    <w:rsid w:val="00D772A9"/>
    <w:rsid w:val="00D801D5"/>
    <w:rsid w:val="00D92904"/>
    <w:rsid w:val="00D92A2B"/>
    <w:rsid w:val="00DA48B1"/>
    <w:rsid w:val="00DA7566"/>
    <w:rsid w:val="00DC0007"/>
    <w:rsid w:val="00DC2299"/>
    <w:rsid w:val="00DC40FC"/>
    <w:rsid w:val="00DD0640"/>
    <w:rsid w:val="00DD0B5D"/>
    <w:rsid w:val="00DF5D40"/>
    <w:rsid w:val="00E0221C"/>
    <w:rsid w:val="00E05C35"/>
    <w:rsid w:val="00E138F9"/>
    <w:rsid w:val="00E26A44"/>
    <w:rsid w:val="00E273C9"/>
    <w:rsid w:val="00E3077E"/>
    <w:rsid w:val="00E309AF"/>
    <w:rsid w:val="00E35757"/>
    <w:rsid w:val="00E43223"/>
    <w:rsid w:val="00E461BA"/>
    <w:rsid w:val="00E47CA8"/>
    <w:rsid w:val="00E550E9"/>
    <w:rsid w:val="00E62CAB"/>
    <w:rsid w:val="00E631B6"/>
    <w:rsid w:val="00E70F18"/>
    <w:rsid w:val="00E94DAA"/>
    <w:rsid w:val="00EA2DCF"/>
    <w:rsid w:val="00EA5041"/>
    <w:rsid w:val="00EA67B5"/>
    <w:rsid w:val="00EB1894"/>
    <w:rsid w:val="00EB4739"/>
    <w:rsid w:val="00EB73E7"/>
    <w:rsid w:val="00EC0097"/>
    <w:rsid w:val="00EC091B"/>
    <w:rsid w:val="00EE1B15"/>
    <w:rsid w:val="00EF3F30"/>
    <w:rsid w:val="00F0466A"/>
    <w:rsid w:val="00F11D8A"/>
    <w:rsid w:val="00F206C5"/>
    <w:rsid w:val="00F2136F"/>
    <w:rsid w:val="00F2650F"/>
    <w:rsid w:val="00F32A1B"/>
    <w:rsid w:val="00F3652C"/>
    <w:rsid w:val="00F40508"/>
    <w:rsid w:val="00F50F81"/>
    <w:rsid w:val="00F52375"/>
    <w:rsid w:val="00F54048"/>
    <w:rsid w:val="00F579EF"/>
    <w:rsid w:val="00F645AA"/>
    <w:rsid w:val="00F80BF0"/>
    <w:rsid w:val="00F9357F"/>
    <w:rsid w:val="00F94530"/>
    <w:rsid w:val="00F94640"/>
    <w:rsid w:val="00F94707"/>
    <w:rsid w:val="00F951D3"/>
    <w:rsid w:val="00FB2E10"/>
    <w:rsid w:val="00FB4EEB"/>
    <w:rsid w:val="00FC25B1"/>
    <w:rsid w:val="00FC29E3"/>
    <w:rsid w:val="00FC41F8"/>
    <w:rsid w:val="00FE2B54"/>
    <w:rsid w:val="00FE48A4"/>
    <w:rsid w:val="00FF517B"/>
    <w:rsid w:val="00FF5295"/>
    <w:rsid w:val="00FF6537"/>
    <w:rsid w:val="364D0359"/>
    <w:rsid w:val="43D34F25"/>
    <w:rsid w:val="54C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39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31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32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33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34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35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36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37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38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qFormat/>
    <w:uiPriority w:val="39"/>
    <w:pPr>
      <w:ind w:left="840" w:leftChars="400"/>
    </w:pPr>
  </w:style>
  <w:style w:type="paragraph" w:styleId="14">
    <w:name w:val="Balloon Text"/>
    <w:basedOn w:val="1"/>
    <w:link w:val="42"/>
    <w:qFormat/>
    <w:uiPriority w:val="0"/>
    <w:rPr>
      <w:sz w:val="18"/>
      <w:szCs w:val="18"/>
    </w:rPr>
  </w:style>
  <w:style w:type="paragraph" w:styleId="15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autoRedefine/>
    <w:qFormat/>
    <w:uiPriority w:val="39"/>
    <w:rPr>
      <w:b/>
    </w:rPr>
  </w:style>
  <w:style w:type="paragraph" w:styleId="18">
    <w:name w:val="toc 2"/>
    <w:basedOn w:val="1"/>
    <w:next w:val="1"/>
    <w:autoRedefine/>
    <w:qFormat/>
    <w:uiPriority w:val="39"/>
    <w:pPr>
      <w:ind w:left="420" w:leftChars="200"/>
    </w:pPr>
  </w:style>
  <w:style w:type="paragraph" w:styleId="19">
    <w:name w:val="Title"/>
    <w:basedOn w:val="1"/>
    <w:next w:val="1"/>
    <w:link w:val="2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qFormat/>
    <w:uiPriority w:val="0"/>
  </w:style>
  <w:style w:type="character" w:styleId="24">
    <w:name w:val="Hyperlink"/>
    <w:unhideWhenUsed/>
    <w:qFormat/>
    <w:uiPriority w:val="99"/>
    <w:rPr>
      <w:color w:val="0563C1"/>
      <w:u w:val="single"/>
    </w:rPr>
  </w:style>
  <w:style w:type="character" w:customStyle="1" w:styleId="25">
    <w:name w:val="页眉 字符1"/>
    <w:link w:val="16"/>
    <w:qFormat/>
    <w:uiPriority w:val="0"/>
    <w:rPr>
      <w:kern w:val="2"/>
      <w:sz w:val="18"/>
      <w:szCs w:val="18"/>
    </w:rPr>
  </w:style>
  <w:style w:type="character" w:customStyle="1" w:styleId="26">
    <w:name w:val="页脚 字符1"/>
    <w:link w:val="15"/>
    <w:qFormat/>
    <w:uiPriority w:val="99"/>
    <w:rPr>
      <w:kern w:val="2"/>
      <w:sz w:val="18"/>
      <w:szCs w:val="18"/>
    </w:rPr>
  </w:style>
  <w:style w:type="character" w:customStyle="1" w:styleId="27">
    <w:name w:val="页眉 字符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8">
    <w:name w:val="页脚 字符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9">
    <w:name w:val="标题 字符"/>
    <w:link w:val="19"/>
    <w:qFormat/>
    <w:uiPriority w:val="0"/>
    <w:rPr>
      <w:rFonts w:ascii="Calibri Light" w:hAnsi="Calibri Light" w:cs="Times New Roman"/>
      <w:b/>
      <w:bCs/>
      <w:kern w:val="2"/>
      <w:sz w:val="32"/>
      <w:szCs w:val="32"/>
    </w:rPr>
  </w:style>
  <w:style w:type="character" w:customStyle="1" w:styleId="30">
    <w:name w:val="标题 1 Char"/>
    <w:qFormat/>
    <w:uiPriority w:val="0"/>
    <w:rPr>
      <w:b/>
      <w:bCs/>
      <w:kern w:val="44"/>
      <w:sz w:val="44"/>
      <w:szCs w:val="44"/>
    </w:rPr>
  </w:style>
  <w:style w:type="character" w:customStyle="1" w:styleId="31">
    <w:name w:val="标题 2 字符1"/>
    <w:link w:val="4"/>
    <w:qFormat/>
    <w:uiPriority w:val="0"/>
    <w:rPr>
      <w:rFonts w:ascii="宋体" w:cs="Arial"/>
      <w:b/>
      <w:bCs/>
      <w:iCs/>
      <w:color w:val="000000"/>
      <w:sz w:val="24"/>
      <w:szCs w:val="24"/>
    </w:rPr>
  </w:style>
  <w:style w:type="character" w:customStyle="1" w:styleId="32">
    <w:name w:val="标题 3 字符"/>
    <w:link w:val="5"/>
    <w:qFormat/>
    <w:uiPriority w:val="0"/>
    <w:rPr>
      <w:rFonts w:ascii="宋体" w:hAnsi="宋体" w:cs="Arial"/>
      <w:b/>
      <w:bCs/>
      <w:sz w:val="21"/>
      <w:szCs w:val="21"/>
    </w:rPr>
  </w:style>
  <w:style w:type="character" w:customStyle="1" w:styleId="33">
    <w:name w:val="标题 4 字符"/>
    <w:link w:val="6"/>
    <w:qFormat/>
    <w:uiPriority w:val="0"/>
    <w:rPr>
      <w:b/>
      <w:bCs/>
      <w:sz w:val="21"/>
      <w:szCs w:val="28"/>
      <w:lang w:val="en-GB"/>
    </w:rPr>
  </w:style>
  <w:style w:type="character" w:customStyle="1" w:styleId="34">
    <w:name w:val="标题 5 字符"/>
    <w:link w:val="7"/>
    <w:qFormat/>
    <w:uiPriority w:val="0"/>
    <w:rPr>
      <w:b/>
      <w:bCs/>
      <w:iCs/>
      <w:sz w:val="21"/>
      <w:szCs w:val="26"/>
      <w:lang w:val="en-GB"/>
    </w:rPr>
  </w:style>
  <w:style w:type="character" w:customStyle="1" w:styleId="35">
    <w:name w:val="标题 6 字符"/>
    <w:link w:val="8"/>
    <w:qFormat/>
    <w:uiPriority w:val="0"/>
    <w:rPr>
      <w:b/>
      <w:bCs/>
      <w:sz w:val="21"/>
      <w:szCs w:val="22"/>
      <w:lang w:val="en-GB"/>
    </w:rPr>
  </w:style>
  <w:style w:type="character" w:customStyle="1" w:styleId="36">
    <w:name w:val="标题 7 字符"/>
    <w:link w:val="9"/>
    <w:qFormat/>
    <w:uiPriority w:val="0"/>
    <w:rPr>
      <w:sz w:val="24"/>
      <w:szCs w:val="24"/>
      <w:lang w:val="en-GB"/>
    </w:rPr>
  </w:style>
  <w:style w:type="character" w:customStyle="1" w:styleId="37">
    <w:name w:val="标题 8 字符"/>
    <w:link w:val="10"/>
    <w:qFormat/>
    <w:uiPriority w:val="0"/>
    <w:rPr>
      <w:i/>
      <w:iCs/>
      <w:sz w:val="24"/>
      <w:szCs w:val="24"/>
      <w:lang w:val="en-GB"/>
    </w:rPr>
  </w:style>
  <w:style w:type="character" w:customStyle="1" w:styleId="38">
    <w:name w:val="标题 9 字符"/>
    <w:link w:val="11"/>
    <w:qFormat/>
    <w:uiPriority w:val="0"/>
    <w:rPr>
      <w:rFonts w:ascii="Arial" w:hAnsi="Arial" w:cs="Arial"/>
      <w:sz w:val="22"/>
      <w:szCs w:val="22"/>
      <w:lang w:val="en-GB"/>
    </w:rPr>
  </w:style>
  <w:style w:type="character" w:customStyle="1" w:styleId="39">
    <w:name w:val="标题 1 字符"/>
    <w:link w:val="2"/>
    <w:qFormat/>
    <w:uiPriority w:val="0"/>
    <w:rPr>
      <w:b/>
      <w:bCs/>
      <w:kern w:val="32"/>
      <w:sz w:val="28"/>
      <w:szCs w:val="28"/>
    </w:rPr>
  </w:style>
  <w:style w:type="character" w:customStyle="1" w:styleId="40">
    <w:name w:val="标题 2 字符"/>
    <w:qFormat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paragraph" w:styleId="41">
    <w:name w:val="List Paragraph"/>
    <w:basedOn w:val="1"/>
    <w:qFormat/>
    <w:uiPriority w:val="34"/>
    <w:pPr>
      <w:ind w:firstLine="420" w:firstLineChars="200"/>
    </w:pPr>
  </w:style>
  <w:style w:type="character" w:customStyle="1" w:styleId="42">
    <w:name w:val="批注框文本 字符"/>
    <w:link w:val="14"/>
    <w:qFormat/>
    <w:uiPriority w:val="0"/>
    <w:rPr>
      <w:kern w:val="2"/>
      <w:sz w:val="18"/>
      <w:szCs w:val="18"/>
    </w:rPr>
  </w:style>
  <w:style w:type="character" w:styleId="43">
    <w:name w:val="Placeholder Text"/>
    <w:semiHidden/>
    <w:qFormat/>
    <w:uiPriority w:val="99"/>
    <w:rPr>
      <w:color w:val="808080"/>
    </w:rPr>
  </w:style>
  <w:style w:type="paragraph" w:customStyle="1" w:styleId="44">
    <w:name w:val="TOC Heading"/>
    <w:basedOn w:val="2"/>
    <w:next w:val="1"/>
    <w:qFormat/>
    <w:uiPriority w:val="39"/>
    <w:pPr>
      <w:keepLines/>
      <w:numPr>
        <w:numId w:val="0"/>
      </w:numPr>
      <w:kinsoku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45">
    <w:name w:val="页眉 Char1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bmp"/><Relationship Id="rId80" Type="http://schemas.openxmlformats.org/officeDocument/2006/relationships/fontTable" Target="fontTable.xml"/><Relationship Id="rId8" Type="http://schemas.openxmlformats.org/officeDocument/2006/relationships/image" Target="media/image4.png"/><Relationship Id="rId79" Type="http://schemas.openxmlformats.org/officeDocument/2006/relationships/numbering" Target="numbering.xml"/><Relationship Id="rId78" Type="http://schemas.openxmlformats.org/officeDocument/2006/relationships/oleObject" Target="embeddings/oleObject44.bin"/><Relationship Id="rId77" Type="http://schemas.openxmlformats.org/officeDocument/2006/relationships/oleObject" Target="embeddings/oleObject43.bin"/><Relationship Id="rId76" Type="http://schemas.openxmlformats.org/officeDocument/2006/relationships/oleObject" Target="embeddings/oleObject42.bin"/><Relationship Id="rId75" Type="http://schemas.openxmlformats.org/officeDocument/2006/relationships/oleObject" Target="embeddings/oleObject41.bin"/><Relationship Id="rId74" Type="http://schemas.openxmlformats.org/officeDocument/2006/relationships/oleObject" Target="embeddings/oleObject40.bin"/><Relationship Id="rId73" Type="http://schemas.openxmlformats.org/officeDocument/2006/relationships/oleObject" Target="embeddings/oleObject39.bin"/><Relationship Id="rId72" Type="http://schemas.openxmlformats.org/officeDocument/2006/relationships/oleObject" Target="embeddings/oleObject38.bin"/><Relationship Id="rId71" Type="http://schemas.openxmlformats.org/officeDocument/2006/relationships/oleObject" Target="embeddings/oleObject37.bin"/><Relationship Id="rId70" Type="http://schemas.openxmlformats.org/officeDocument/2006/relationships/oleObject" Target="embeddings/oleObject36.bin"/><Relationship Id="rId7" Type="http://schemas.openxmlformats.org/officeDocument/2006/relationships/image" Target="media/image3.png"/><Relationship Id="rId69" Type="http://schemas.openxmlformats.org/officeDocument/2006/relationships/oleObject" Target="embeddings/oleObject35.bin"/><Relationship Id="rId68" Type="http://schemas.openxmlformats.org/officeDocument/2006/relationships/oleObject" Target="embeddings/oleObject34.bin"/><Relationship Id="rId67" Type="http://schemas.openxmlformats.org/officeDocument/2006/relationships/oleObject" Target="embeddings/oleObject33.bin"/><Relationship Id="rId66" Type="http://schemas.openxmlformats.org/officeDocument/2006/relationships/oleObject" Target="embeddings/oleObject32.bin"/><Relationship Id="rId65" Type="http://schemas.openxmlformats.org/officeDocument/2006/relationships/oleObject" Target="embeddings/oleObject31.bin"/><Relationship Id="rId64" Type="http://schemas.openxmlformats.org/officeDocument/2006/relationships/oleObject" Target="embeddings/oleObject30.bin"/><Relationship Id="rId63" Type="http://schemas.openxmlformats.org/officeDocument/2006/relationships/oleObject" Target="embeddings/oleObject29.bin"/><Relationship Id="rId62" Type="http://schemas.openxmlformats.org/officeDocument/2006/relationships/oleObject" Target="embeddings/oleObject28.bin"/><Relationship Id="rId61" Type="http://schemas.openxmlformats.org/officeDocument/2006/relationships/oleObject" Target="embeddings/oleObject27.bin"/><Relationship Id="rId60" Type="http://schemas.openxmlformats.org/officeDocument/2006/relationships/image" Target="media/image30.wmf"/><Relationship Id="rId6" Type="http://schemas.openxmlformats.org/officeDocument/2006/relationships/image" Target="media/image2.png"/><Relationship Id="rId59" Type="http://schemas.openxmlformats.org/officeDocument/2006/relationships/oleObject" Target="embeddings/oleObject26.bin"/><Relationship Id="rId58" Type="http://schemas.openxmlformats.org/officeDocument/2006/relationships/oleObject" Target="embeddings/oleObject25.bin"/><Relationship Id="rId57" Type="http://schemas.openxmlformats.org/officeDocument/2006/relationships/oleObject" Target="embeddings/oleObject24.bin"/><Relationship Id="rId56" Type="http://schemas.openxmlformats.org/officeDocument/2006/relationships/oleObject" Target="embeddings/oleObject23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0.bin"/><Relationship Id="rId5" Type="http://schemas.openxmlformats.org/officeDocument/2006/relationships/theme" Target="theme/theme1.xml"/><Relationship Id="rId49" Type="http://schemas.openxmlformats.org/officeDocument/2006/relationships/image" Target="media/image26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5.bin"/><Relationship Id="rId4" Type="http://schemas.openxmlformats.org/officeDocument/2006/relationships/footer" Target="footer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4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9.bin"/><Relationship Id="rId27" Type="http://schemas.openxmlformats.org/officeDocument/2006/relationships/image" Target="media/image15.wmf"/><Relationship Id="rId26" Type="http://schemas.openxmlformats.org/officeDocument/2006/relationships/oleObject" Target="embeddings/oleObject8.bin"/><Relationship Id="rId25" Type="http://schemas.openxmlformats.org/officeDocument/2006/relationships/image" Target="media/image14.wmf"/><Relationship Id="rId24" Type="http://schemas.openxmlformats.org/officeDocument/2006/relationships/oleObject" Target="embeddings/oleObject7.bin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5.bin"/><Relationship Id="rId17" Type="http://schemas.openxmlformats.org/officeDocument/2006/relationships/image" Target="media/image9.wmf"/><Relationship Id="rId16" Type="http://schemas.openxmlformats.org/officeDocument/2006/relationships/oleObject" Target="embeddings/oleObject4.bin"/><Relationship Id="rId15" Type="http://schemas.openxmlformats.org/officeDocument/2006/relationships/image" Target="media/image8.wmf"/><Relationship Id="rId14" Type="http://schemas.openxmlformats.org/officeDocument/2006/relationships/oleObject" Target="embeddings/oleObject3.bin"/><Relationship Id="rId13" Type="http://schemas.openxmlformats.org/officeDocument/2006/relationships/image" Target="media/image7.wmf"/><Relationship Id="rId12" Type="http://schemas.openxmlformats.org/officeDocument/2006/relationships/oleObject" Target="embeddings/oleObject2.bin"/><Relationship Id="rId11" Type="http://schemas.openxmlformats.org/officeDocument/2006/relationships/image" Target="media/image6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36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tmp36.dotx</Template>
  <Pages>6</Pages>
  <Words>1550</Words>
  <Characters>2097</Characters>
  <Lines>26</Lines>
  <Paragraphs>7</Paragraphs>
  <TotalTime>0</TotalTime>
  <ScaleCrop>false</ScaleCrop>
  <LinksUpToDate>false</LinksUpToDate>
  <CharactersWithSpaces>2220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2024-10-19T15:23:00Z</dcterms:created>
  <dc:creator>user</dc:creator>
  <cp:lastModifiedBy>Administrator</cp:lastModifiedBy>
  <dcterms:modified xsi:type="dcterms:W3CDTF">2025-05-10T11:32:13Z</dcterms:modified>
  <dc:title>防潮验算计算书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ICV">
    <vt:lpwstr>371830A9DC1840B792F1ED69C3E17444_11</vt:lpwstr>
  </property>
  <property fmtid="{D5CDD505-2E9C-101B-9397-08002B2CF9AE}" pid="4" name="KSOProductBuildVer">
    <vt:lpwstr>2052-12.1.0.20784</vt:lpwstr>
  </property>
  <property fmtid="{D5CDD505-2E9C-101B-9397-08002B2CF9AE}" pid="5" name="KSOTemplateDocerSaveRecord">
    <vt:lpwstr>eyJoZGlkIjoiODQ3NmMxYTIyN2M2NmU4NjgyMTQ3ZDAxZWNiMTY3ZTkifQ==</vt:lpwstr>
  </property>
</Properties>
</file>