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版本号：HXCG2025-12-2520260109001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周至县乡村振兴道路提升改造项目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HXCG2025-12-25</w:t>
      </w:r>
      <w:r>
        <w:br/>
      </w:r>
      <w:r>
        <w:br/>
      </w:r>
      <w:r>
        <w:br/>
      </w:r>
    </w:p>
    <w:p>
      <w:pPr>
        <w:pStyle w:val="null3"/>
        <w:jc w:val="center"/>
        <w:outlineLvl w:val="2"/>
      </w:pPr>
      <w:r>
        <w:rPr>
          <w:rFonts w:ascii="仿宋_GB2312" w:hAnsi="仿宋_GB2312" w:cs="仿宋_GB2312" w:eastAsia="仿宋_GB2312"/>
          <w:sz w:val="28"/>
          <w:b/>
        </w:rPr>
        <w:t>西安市周至县交通局（本级）</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西安市周至县交通局（本级）</w:t>
      </w:r>
      <w:r>
        <w:rPr>
          <w:rFonts w:ascii="仿宋_GB2312" w:hAnsi="仿宋_GB2312" w:cs="仿宋_GB2312" w:eastAsia="仿宋_GB2312"/>
        </w:rPr>
        <w:t>委托，拟对</w:t>
      </w:r>
      <w:r>
        <w:rPr>
          <w:rFonts w:ascii="仿宋_GB2312" w:hAnsi="仿宋_GB2312" w:cs="仿宋_GB2312" w:eastAsia="仿宋_GB2312"/>
        </w:rPr>
        <w:t>周至县乡村振兴道路提升改造项目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HXCG2025-12-25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周至县乡村振兴道路提升改造项目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地点位于陕西省周至县九峰镇南千户村、楼观镇延生观村、尚村镇神灵寺村、马召镇焦家楼村、延生观六组二路；主要建设内容为:对九峰镇南千户村、楼观镇延生观村、尚村镇神灵寺村、马召镇焦家楼村、延生观六组二路等农村道路进行提升改造共计4.151公里。（具体详见竞争性磋商文件、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采购包1（周至县乡村振兴道路提升改造项目）：属于专门面向中小企业采购。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1、营业执照：营业执照： 供应商应具有独立承担民事责任的能力的企业法人、事业法人、其他组织或自然人，并出具合法有效的营业执照或事业单位法人证书等国家规定的相关证明，自然人参与的提供其身份证明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提供2024年度经审计的财务会计报告（成立时间至提交投标文件截止时间不足一年的可提供成立后任意时段的资产负债表）或开标前六个月内其基本存款账户开户银行出具的资信证明及基本存款账户开户许可证（基本账户存款信息）</w:t>
      </w:r>
    </w:p>
    <w:p>
      <w:pPr>
        <w:pStyle w:val="null3"/>
      </w:pPr>
      <w:r>
        <w:rPr>
          <w:rFonts w:ascii="仿宋_GB2312" w:hAnsi="仿宋_GB2312" w:cs="仿宋_GB2312" w:eastAsia="仿宋_GB2312"/>
        </w:rPr>
        <w:t>3、税收缴纳证明：税收缴纳证明：自2025年1月1日以来已缴纳的至少一个月的纳税证明或完税证明，纳税证明或完税证明上应有代收机构或税务机关的公章或业务专用章。依法免税的供应商应提供相关文件证明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4、社会保障资金缴纳证明：社会保障资金缴纳证明： 自2025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5、无重大违法记录的声明：无重大违法记录的声明：参加政府采购活动前三年内，在经营活动中没有重大违法记录的书面声明（成立时间至提交投标文件截止时间不足三年的可提供成立至今的书面声明）</w:t>
      </w:r>
    </w:p>
    <w:p>
      <w:pPr>
        <w:pStyle w:val="null3"/>
      </w:pPr>
      <w:r>
        <w:rPr>
          <w:rFonts w:ascii="仿宋_GB2312" w:hAnsi="仿宋_GB2312" w:cs="仿宋_GB2312" w:eastAsia="仿宋_GB2312"/>
        </w:rPr>
        <w:t>6、法定代表人授权书：法定代表人授权书：法定代表人直接参加投标的，须出具法定代表人身份证明及法定代表人身份证；法定代表人授权代表参加投标的，须出具法定代表人授权书及授权代表身份证</w:t>
      </w:r>
    </w:p>
    <w:p>
      <w:pPr>
        <w:pStyle w:val="null3"/>
      </w:pPr>
      <w:r>
        <w:rPr>
          <w:rFonts w:ascii="仿宋_GB2312" w:hAnsi="仿宋_GB2312" w:cs="仿宋_GB2312" w:eastAsia="仿宋_GB2312"/>
        </w:rPr>
        <w:t>7、信用查询：信用查询： 供应商不得被列入中国执行信息公开网（http://zxgk.court.gov.cn）失信被执行人、信用中国（www.creditchina.gov.cn）违法税收黑名单、在中国政府采购网（www.ccgp.gov.cn）没有严重违法失信行为记录名单、以查询结果为准，提供网站截图</w:t>
      </w:r>
    </w:p>
    <w:p>
      <w:pPr>
        <w:pStyle w:val="null3"/>
      </w:pPr>
      <w:r>
        <w:rPr>
          <w:rFonts w:ascii="仿宋_GB2312" w:hAnsi="仿宋_GB2312" w:cs="仿宋_GB2312" w:eastAsia="仿宋_GB2312"/>
        </w:rPr>
        <w:t>8、资质证书：资质证书：具备行政主管部门颁发的公路工程施工总承包三级（含三级）以上资质证书，同时具有合格有效的安全生产许可证</w:t>
      </w:r>
    </w:p>
    <w:p>
      <w:pPr>
        <w:pStyle w:val="null3"/>
      </w:pPr>
      <w:r>
        <w:rPr>
          <w:rFonts w:ascii="仿宋_GB2312" w:hAnsi="仿宋_GB2312" w:cs="仿宋_GB2312" w:eastAsia="仿宋_GB2312"/>
        </w:rPr>
        <w:t>9、项目经理：项目经理：拟派项目经理须具有公路工程专业二级（含二级）以上注册建造师证书和行政主管部门颁发的安全生产考核合格证（交安B证）在本单位注册且无在建工程、无不良记录（提供无在建工程、无不良记录承诺书）</w:t>
      </w:r>
    </w:p>
    <w:p>
      <w:pPr>
        <w:pStyle w:val="null3"/>
      </w:pPr>
      <w:r>
        <w:rPr>
          <w:rFonts w:ascii="仿宋_GB2312" w:hAnsi="仿宋_GB2312" w:cs="仿宋_GB2312" w:eastAsia="仿宋_GB2312"/>
        </w:rPr>
        <w:t>10、联合体：联合体：本项目不接受联合体投标（提供非联合体投标声明）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西安市周至县交通局（本级）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周至县中心东街18号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周至县交通运输局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029-87119598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陕西省西安市经济技术开发区凤城十二路与文景路交汇处首创国际城八期64栋楼307室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18091783671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采购包1：3,977,129.00元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代理服务费收费标准：按照国家计委颁布的《招标代理服务收费管理暂行办法》（计价格『2002』1980号）文中规定的收费标准向采购代理机构一次性全额支付。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西安市周至县交通局（本级）</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西安市周至县交通局（本级）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西安市周至县交通局（本级）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各项具体工作的质里标准和作业规范，符合国家法律法规的规定与相关技术标准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联系人：于工</w:t>
      </w:r>
    </w:p>
    <w:p>
      <w:pPr>
        <w:pStyle w:val="null3"/>
      </w:pPr>
      <w:r>
        <w:rPr>
          <w:rFonts w:ascii="仿宋_GB2312" w:hAnsi="仿宋_GB2312" w:cs="仿宋_GB2312" w:eastAsia="仿宋_GB2312"/>
        </w:rPr>
        <w:t>联系电话：18091783671</w:t>
      </w:r>
    </w:p>
    <w:p>
      <w:pPr>
        <w:pStyle w:val="null3"/>
      </w:pPr>
      <w:r>
        <w:rPr>
          <w:rFonts w:ascii="仿宋_GB2312" w:hAnsi="仿宋_GB2312" w:cs="仿宋_GB2312" w:eastAsia="仿宋_GB2312"/>
        </w:rPr>
        <w:t>地址：陕西省西安市经济技术开发区凤城十二路与文景路交汇处首创国际城八期64栋楼307室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3,977,129.00</w:t>
      </w:r>
    </w:p>
    <w:p>
      <w:pPr>
        <w:pStyle w:val="null3"/>
      </w:pPr>
      <w:r>
        <w:rPr>
          <w:rFonts w:ascii="仿宋_GB2312" w:hAnsi="仿宋_GB2312" w:cs="仿宋_GB2312" w:eastAsia="仿宋_GB2312"/>
        </w:rPr>
        <w:t>采购包最高限价（元）: 3,977,129.00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周至县乡村振兴道路提升改造项目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3,977,129.00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标的名称：周至县乡村振兴道路提升改造项目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详见附件</w:t>
            </w:r>
            <w:r>
              <w:rPr>
                <w:rFonts w:ascii="仿宋_GB2312" w:hAnsi="仿宋_GB2312" w:cs="仿宋_GB2312" w:eastAsia="仿宋_GB2312"/>
                <w:sz w:val="19"/>
                <w:color w:val="000000"/>
              </w:rPr>
              <w:t>“图纸及工程量清单”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工期：6个月</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服务地点</w:t>
            </w:r>
            <w:r>
              <w:rPr>
                <w:rFonts w:ascii="仿宋_GB2312" w:hAnsi="仿宋_GB2312" w:cs="仿宋_GB2312" w:eastAsia="仿宋_GB2312"/>
                <w:sz w:val="21"/>
              </w:rPr>
              <w:t>:采购人指定地点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其他要求</w:t>
            </w:r>
            <w:r>
              <w:rPr>
                <w:rFonts w:ascii="仿宋_GB2312" w:hAnsi="仿宋_GB2312" w:cs="仿宋_GB2312" w:eastAsia="仿宋_GB2312"/>
                <w:sz w:val="21"/>
              </w:rPr>
              <w:t>:(1)投标报价包含完成本项目所需的所有费用，包括但不限于完成本项目所需的设备费、材料费、试验费、燃料动力费、技术服务费、管理费验收、质保期服务、利润、培训、售后服务、招标代理服务费等所有的含税费用及全部明示和暗示的风险。如有遗病，投标供应商应予补充，否则，一旦中标将认为中标供应商认同造漏部分并免费提供。(2)根据项目总体进度变化，采购人可能会延长相关内容建设的工期或调整进度计划，投标供应商应在投材总价中充分考虑工期风险，在实施过程中不得藉此要求增加任何费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1.质量要求：符合国家现行有关施工质量验收规范“合格”要求。 2.安全目标：建设过程中确保不发生安全责任事故，避免重、特大事故的发生，创建“平安工地” 3.施工范围：招标文件、工程量清单及施工图纸等本项目用地范围内全部施工工作，直至竣工验收合格并整体移交、工程保修期内的缺陷修复和保修工作，同时承担相关协调工作。 4.治污减霾：按照《西安市公路建设工地扬尘污染防治措施》、《关于实行建设工地红黄绿挂牌管理的通知》及六个100%要求和19条措施落实治污减霾工作，以及省、市相关治污减霾文件要求。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 供应商应具有独立承担民事责任的能力的企业法人、事业法人、其他组织或自然人，并出具合法有效的营业执照或事业单位法人证书等国家规定的相关证明，自然人参与的提供其身份证明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会计报告（成立时间至提交投标文件截止时间不足一年的可提供成立后任意时段的资产负债表）或开标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税收缴纳证明：自2025年1月1日以来已缴纳的至少一个月的纳税证明或完税证明，纳税证明或完税证明上应有代收机构或税务机关的公章或业务专用章。依法免税的供应商应提供相关文件证明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 自2025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无重大违法记录的声明：参加政府采购活动前三年内，在经营活动中没有重大违法记录的书面声明（成立时间至提交投标文件截止时间不足三年的可提供成立至今的书面声明）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法定代表人授权书：法定代表人直接参加投标的，须出具法定代表人身份证明及法定代表人身份证；法定代表人授权代表参加投标的，须出具法定代表人授权书及授权代表身份证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授权委托书.docx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 供应商不得被列入中国执行信息公开网（http://zxgk.court.gov.cn）失信被执行人、信用中国（www.creditchina.gov.cn）违法税收黑名单、在中国政府采购网（www.ccgp.gov.cn）没有严重违法失信行为记录名单、以查询结果为准，提供网站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资质证书：具备行政主管部门颁发的公路工程施工总承包三级（含三级）以上资质证书，同时具有合格有效的安全生产许可证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拟派项目经理须具有公路工程专业二级（含二级）以上注册建造师证书和行政主管部门颁发的安全生产考核合格证（交安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联合体：本项目不接受联合体投标（提供非联合体投标声明）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（1）竞争性磋商响应文件封面 （2）响应函 （3）授权委托书/身份证明</w:t>
            </w:r>
          </w:p>
        </w:tc>
        <w:tc>
          <w:tcPr>
            <w:tcW w:type="dxa" w:w="1661"/>
          </w:tcPr>
          <w:p>
            <w:pPr>
              <w:pStyle w:val="null3"/>
            </w:pPr>
            <w:r>
              <w:rPr>
                <w:rFonts w:ascii="仿宋_GB2312" w:hAnsi="仿宋_GB2312" w:cs="仿宋_GB2312" w:eastAsia="仿宋_GB2312"/>
              </w:rPr>
              <w:t>响应文件封面 授权委托书.docx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授权委托书.docx 技术服务合同条款及其他商务要求应答表 供应商应提交的相关资格证明材料 强制优先采购产品承诺函 响应文件封面 项目管理机构组成表 供应商认为有必要补充说明的事项.docx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授权委托书.docx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1.拟派项目经理具备中级职称及以上得2分，其他情况不得分。 2.拟派项目经理业绩（3分） 供应商应提供自2021年1月1日以来至今（时间以合同签订时间为准）完成类似业绩证明材料，提供1项有效业绩证明材料的复印件或扫描得1.5分,本项最高得3分，未提供的不得分。 注：评审依据：提供合同或中标通知书，需体现项目经理姓名，未体现不予赋分。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项目总工</w:t>
            </w:r>
          </w:p>
        </w:tc>
        <w:tc>
          <w:tcPr>
            <w:tcW w:type="dxa" w:w="2492"/>
          </w:tcPr>
          <w:p>
            <w:pPr>
              <w:pStyle w:val="null3"/>
            </w:pPr>
            <w:r>
              <w:rPr>
                <w:rFonts w:ascii="仿宋_GB2312" w:hAnsi="仿宋_GB2312" w:cs="仿宋_GB2312" w:eastAsia="仿宋_GB2312"/>
              </w:rPr>
              <w:t>1.拟派总工具备中级职称及以上得2分，其他情况不得分。2.拟派总工业绩（3分） 供应商应提供自2021年1月1日以来至今（时间以合同签订时间为准）完成类似业绩证明材料，提供1项有效业绩证明材料的复印件或扫描得1.5分,本项最高得3分，未提供的不得分。 注：评审依据：提供合同或中标通知书，需体现项目总工姓名，未体现不予赋分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一、评审内容：包括但不限于①质量目标管理体系②确保质量的技术组织措施③施工质量控制措施：二、评审标准： 1、对质量目标管理体系、确保质量的技术组织措施、施工质量控制措施均有完整的描述及方案说明； 2、与本项目实际情况切合，实施步骤清晰、合理； 3、质量目标管理体系、确保质量的技术组织措施、施工质量控制措施针对本项目内容。 三、赋分标准 ：方案内容每完全满足一项评审标准得3分，总分9分； 方案内容每有缺陷扣1分，未提供得0分。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一、评审内容：包括但不限于①安全生产目标②安全施工管理机构设置③安全管理及防护办法④安全检查办法等。 二、评审标准： 1、对安全生产目标、安全施工管理机构设置、安全管理及防护办法、安全检查办法等均有全面、详细描述； 2、安全生产目标、安全施工管理机构设置、安全管理及防护办法、安全检查办法等方案切合本项目实际情况，实施步骤清晰、合理。 三、赋分标准 ：方案内容每完全满足一项评审标准得2分，总分8分； 方案内容每有一处缺陷扣0.5分 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确保工期的技术组织措施（含施工进度表及网络图）及冬雨季施工方案</w:t>
            </w:r>
          </w:p>
        </w:tc>
        <w:tc>
          <w:tcPr>
            <w:tcW w:type="dxa" w:w="2492"/>
          </w:tcPr>
          <w:p>
            <w:pPr>
              <w:pStyle w:val="null3"/>
            </w:pPr>
            <w:r>
              <w:rPr>
                <w:rFonts w:ascii="仿宋_GB2312" w:hAnsi="仿宋_GB2312" w:cs="仿宋_GB2312" w:eastAsia="仿宋_GB2312"/>
              </w:rPr>
              <w:t>一、评审内容：包括但不限于①难点工程及关键工程的关键路径、②确保工期的技术组织、③冬雨季施工难点分析及应对措施等；④提供施工进度表或施工网络图，⑤提供为达到施工进度表或施工网络图的工期保证措施。 二、评审标准： 1、确保工期的技术组织及冬雨季施工难点分析及应对措施全面完整，描述详细； 2、确保工期的技术组织、冬雨季施工难点分析及应对措施切合本项目实际情况，实施步骤清晰、合理可行。3.施工进度完整网络图清晰无常识性错误切合本项目实际情况，实施步骤清晰、合理；工期保障措施合理可行 三、赋分标准 ：方案内容每完全满足一项评审标准得2分，总分10分； 方案内容每有一处缺陷扣0.5分 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一、评审标准：包括但不限于①建筑工程安全防护②夜间施工噪音管理措施③废弃物处理措施等 二、评审标准： 1、建筑工程安全防护、夜间施工噪音管理措施、废弃物处理措施科学合理完整，确保生产有序进行 2、 切合本项目实际情况，实施步骤清晰、合理； 3、 能够紧扣项目实际情况，内容科学合理、可行。 三、赋分标准 ：方案内容每完全每满足一项评审标准得2分，总分6分； 方案内容每有一处缺陷扣0.5分 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一、评审内容：包括但不限于①施工机械配备投入计划、②材料投入计划、③新材料、新工艺投入及使用、④绿色建材的使用等： 二、评审标准： 1、 须全面，对评审内容中的各项要求有详细描述及说明； 2、 切合本项目实际情况，实施步骤清晰、合理； 3、 能够紧扣项目实际情况，内容科学合理。 三、赋分标准： 方案内容每完全满足一项评审标准得2.5分，总分10分；方案内容每有一处缺陷扣1分，扣完为止，不计负分；其他或未提供得0分。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包括但不限于①施工劳动力投入的原则及管理要求②施工劳动力组织要求③施工劳动力投入数量④劳动力培训 二、评审标准： 1、劳动力安排计划动态调整，需要根据生产计划的变化灵活调整员工的工作安排，确保生产计划的顺利执行。 2、通过合理的劳动力安排，提高施工效率。 三、赋分标准： 方案内容每完全满足一项评审标准得1.5分，总分6分； 方案内容每有一处缺陷扣0.5分，其他或未提供得0分。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提供施工单位的工程保修承诺书，包括工程保修期内的定期回访方案及维修方案，方案合理、详尽、得3分；方案较为一般响应及维保不及时得2分；方案不详细，有缺陷得1分；未提供不得分。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近五年（2021年1月1日至今）类似项目业绩（时间以合同签订时间为准），每提供一份得2分，满分8分。投标文件中提供加盖供应商公章的合同或中标通知书复印件。 注：项目经理/总工业绩可以和企业业绩重复赋分。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 的供应商的价格为磋商基准价，其价格得分为满分。其他供应商的价 格得分统一按照下列公式计算： 磋 商报价得分=（磋商基准价/最终磋商报价） ×价格权值（30%）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