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版本号：QH2026-ZCCS-011.1B120260228001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周至县未成年人关爱保护服务项目(二次)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QH2026-ZCCS-011.1B1</w:t>
      </w:r>
      <w:r>
        <w:br/>
      </w:r>
      <w:r>
        <w:br/>
      </w:r>
      <w:r>
        <w:br/>
      </w:r>
    </w:p>
    <w:p>
      <w:pPr>
        <w:pStyle w:val="null3"/>
        <w:jc w:val="center"/>
        <w:outlineLvl w:val="2"/>
      </w:pPr>
      <w:r>
        <w:rPr>
          <w:rFonts w:ascii="仿宋_GB2312" w:hAnsi="仿宋_GB2312" w:cs="仿宋_GB2312" w:eastAsia="仿宋_GB2312"/>
          <w:sz w:val="28"/>
          <w:b/>
        </w:rPr>
        <w:t>西安市周至县民政局（本级）</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西安市周至县民政局（本级）</w:t>
      </w:r>
      <w:r>
        <w:rPr>
          <w:rFonts w:ascii="仿宋_GB2312" w:hAnsi="仿宋_GB2312" w:cs="仿宋_GB2312" w:eastAsia="仿宋_GB2312"/>
        </w:rPr>
        <w:t>委托，拟对</w:t>
      </w:r>
      <w:r>
        <w:rPr>
          <w:rFonts w:ascii="仿宋_GB2312" w:hAnsi="仿宋_GB2312" w:cs="仿宋_GB2312" w:eastAsia="仿宋_GB2312"/>
        </w:rPr>
        <w:t>周至县未成年人关爱保护服务项目(二次)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QH2026-ZCCS-011.1B1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周至县未成年人关爱保护服务项目(二次)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周至县未成年人关爱保护服务项目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采购包1（周至县未成年人关爱保护服务项目）：属于专门面向中小企业采购。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w:t>
      </w:r>
    </w:p>
    <w:p>
      <w:pPr>
        <w:pStyle w:val="null3"/>
      </w:pPr>
      <w:r>
        <w:rPr>
          <w:rFonts w:ascii="仿宋_GB2312" w:hAnsi="仿宋_GB2312" w:cs="仿宋_GB2312" w:eastAsia="仿宋_GB2312"/>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主体信用记录查询：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7、说明及承诺书：提供具有履行本合同所必须的设备和专业技术能力的说明及承诺书；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9、中小企业声明函：供应商需提供中小企业声明函</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11、不接受联合体磋商：本项目不接受联合体投标（提供承诺书）；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15319937789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陕西省西安市雁塔区高新路25号瑞欣大厦6楼b户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采购包1：401,395.00元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西安市周至县民政局（本级）</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符合国家法律法规及行业相关标准要求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地址：陕西省西安市雁塔区高新路25号瑞欣大厦6楼b户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周至县未成年人关爱保护服务项目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401,395.00</w:t>
      </w:r>
    </w:p>
    <w:p>
      <w:pPr>
        <w:pStyle w:val="null3"/>
      </w:pPr>
      <w:r>
        <w:rPr>
          <w:rFonts w:ascii="仿宋_GB2312" w:hAnsi="仿宋_GB2312" w:cs="仿宋_GB2312" w:eastAsia="仿宋_GB2312"/>
        </w:rPr>
        <w:t>采购包最高限价（元）: 401,395.00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周至县未成年人关爱保护服务项目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401,395.00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标的名称：周至县未成年人关爱保护服务项目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24"/>
              </w:rPr>
              <w:t>一、项目实施背景</w:t>
            </w:r>
          </w:p>
          <w:p>
            <w:pPr>
              <w:pStyle w:val="null3"/>
              <w:ind w:firstLine="480"/>
              <w:jc w:val="both"/>
            </w:pPr>
            <w:r>
              <w:rPr>
                <w:rFonts w:ascii="仿宋_GB2312" w:hAnsi="仿宋_GB2312" w:cs="仿宋_GB2312" w:eastAsia="仿宋_GB2312"/>
                <w:sz w:val="24"/>
              </w:rPr>
              <w:t>未成年人保护工作是关乎民生福祉、社会和谐稳定的重要工程。为深入贯彻落实未成年人保护相关法律法规及政策要求，聚焦困境未成年人源头预防与精准帮扶，通过系统开展救助保护线索收集、监护情况调查评估、监护教育指导、专项监护支持等服务，全面提升县域未成年人保护工作专业化、规范化水平，切实守护未成年人健康成长。</w:t>
            </w:r>
          </w:p>
          <w:p>
            <w:pPr>
              <w:pStyle w:val="null3"/>
              <w:ind w:firstLine="480"/>
              <w:jc w:val="both"/>
            </w:pPr>
            <w:r>
              <w:rPr>
                <w:rFonts w:ascii="仿宋_GB2312" w:hAnsi="仿宋_GB2312" w:cs="仿宋_GB2312" w:eastAsia="仿宋_GB2312"/>
                <w:sz w:val="24"/>
              </w:rPr>
              <w:t>二、核心服务内容</w:t>
            </w:r>
          </w:p>
          <w:tbl>
            <w:tblPr>
              <w:tblBorders>
                <w:top w:val="none" w:color="000000" w:sz="4"/>
                <w:left w:val="none" w:color="000000" w:sz="4"/>
                <w:bottom w:val="none" w:color="000000" w:sz="4"/>
                <w:right w:val="none" w:color="000000" w:sz="4"/>
                <w:insideH w:val="none"/>
                <w:insideV w:val="none"/>
              </w:tblBorders>
            </w:tblPr>
            <w:tblGrid>
              <w:gridCol w:w="482"/>
              <w:gridCol w:w="1684"/>
              <w:gridCol w:w="387"/>
            </w:tblGrid>
            <w:tr>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活动名称</w:t>
                  </w:r>
                </w:p>
              </w:tc>
              <w:tc>
                <w:tcPr>
                  <w:tcW w:type="dxa" w:w="1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活动内容</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场次</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家庭教育计划</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依托学校，面向家长开展防溺水、防性侵、防犯罪教育活动，进行青少年法制宣传，发放宣传册，提升监护人法律意识。覆盖对象不少于</w:t>
                  </w:r>
                  <w:r>
                    <w:rPr>
                      <w:rFonts w:ascii="仿宋_GB2312" w:hAnsi="仿宋_GB2312" w:cs="仿宋_GB2312" w:eastAsia="仿宋_GB2312"/>
                      <w:sz w:val="24"/>
                    </w:rPr>
                    <w:t>200人。</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社区关爱计划</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聚焦困境儿童成长需求，提供心理辅导、心理疏导、心理慰藉、成长陪伴等关爱服务，不少于</w:t>
                  </w:r>
                  <w:r>
                    <w:rPr>
                      <w:rFonts w:ascii="仿宋_GB2312" w:hAnsi="仿宋_GB2312" w:cs="仿宋_GB2312" w:eastAsia="仿宋_GB2312"/>
                      <w:sz w:val="24"/>
                    </w:rPr>
                    <w:t>400人次。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监护调查情况评估</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摸排辖区内300名困境儿童信息，按统一标准分类建立电子及纸质信息台账，明确记录儿童基本信息、家庭情况、困境类型、政策享受情况等核心内容，确保台账信息真实、完整、动态更新。2.对50名重点特殊困境儿童每月实地走访1次，核查身心健康、监护落实等4大情况，记录风险因素并分级标注、建立个人档案；预警突出问题并制定干预方案，书面汇报民政部门及乡镇（街道），针对非紧急权益问题编制专项报告。</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拾遗记传承传统文化</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组织</w:t>
                  </w:r>
                  <w:r>
                    <w:rPr>
                      <w:rFonts w:ascii="仿宋_GB2312" w:hAnsi="仿宋_GB2312" w:cs="仿宋_GB2312" w:eastAsia="仿宋_GB2312"/>
                      <w:sz w:val="24"/>
                    </w:rPr>
                    <w:t>25名困境儿童、留守儿童参与非遗体验，以文化浸润强化监护陪伴价值。</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社区家庭教育活动</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1.依托学校、乡镇（街道）未成年人保护工作站、村（社区）儿童之家等阵地，举办 “秦渭花开</w:t>
                  </w:r>
                  <w:r>
                    <w:rPr>
                      <w:rFonts w:ascii="仿宋_GB2312" w:hAnsi="仿宋_GB2312" w:cs="仿宋_GB2312" w:eastAsia="仿宋_GB2312"/>
                      <w:sz w:val="24"/>
                    </w:rPr>
                    <w:t>・爱育未来</w:t>
                  </w:r>
                  <w:r>
                    <w:rPr>
                      <w:rFonts w:ascii="仿宋_GB2312" w:hAnsi="仿宋_GB2312" w:cs="仿宋_GB2312" w:eastAsia="仿宋_GB2312"/>
                      <w:sz w:val="24"/>
                    </w:rPr>
                    <w:t>” 系列主题活动，开展 40场，每场参与不少于25组家庭 ；活动内容聚焦家庭教育知识普及、监护技能提升，邀请专家、教师、优秀家长代表分享家庭教育理念、科学育儿方法及实践经验；结合个案辅导、小组互动等形式，强化监护责任意识培育，提升监护人实操能力。2.向困境儿童、留守儿童监护人和实际照料人发放《家庭教育指导手册》至少 600册。</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40</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参观海洋馆</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组织</w:t>
                  </w:r>
                  <w:r>
                    <w:rPr>
                      <w:rFonts w:ascii="仿宋_GB2312" w:hAnsi="仿宋_GB2312" w:cs="仿宋_GB2312" w:eastAsia="仿宋_GB2312"/>
                      <w:sz w:val="24"/>
                    </w:rPr>
                    <w:t>25名困境儿童、留守儿童参观海洋馆，拓展视野，学习科普知识，树立远大理想。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拾梦童年・心愿续航行动</w:t>
                  </w:r>
                </w:p>
                <w:p>
                  <w:pPr>
                    <w:pStyle w:val="null3"/>
                    <w:spacing w:before="120" w:after="120"/>
                    <w:jc w:val="left"/>
                  </w:p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在摸排困境儿童信息时收集儿童心愿，根据愿望清单，依托乡镇（街道）未成年人保护工作站、村（社区）儿童之家等阵地，集中举办圆梦活动。覆盖对象不少于</w:t>
                  </w:r>
                  <w:r>
                    <w:rPr>
                      <w:rFonts w:ascii="仿宋_GB2312" w:hAnsi="仿宋_GB2312" w:cs="仿宋_GB2312" w:eastAsia="仿宋_GB2312"/>
                      <w:sz w:val="24"/>
                    </w:rPr>
                    <w:t>80人。</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守护者赋能工程</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为不少于</w:t>
                  </w:r>
                  <w:r>
                    <w:rPr>
                      <w:rFonts w:ascii="仿宋_GB2312" w:hAnsi="仿宋_GB2312" w:cs="仿宋_GB2312" w:eastAsia="仿宋_GB2312"/>
                      <w:sz w:val="24"/>
                    </w:rPr>
                    <w:t>2</w:t>
                  </w:r>
                  <w:r>
                    <w:rPr>
                      <w:rFonts w:ascii="仿宋_GB2312" w:hAnsi="仿宋_GB2312" w:cs="仿宋_GB2312" w:eastAsia="仿宋_GB2312"/>
                      <w:sz w:val="24"/>
                    </w:rPr>
                    <w:t>20名家长、儿童督导员/主任举办赋能培训，解读未保法规、分析案例等。</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1</w:t>
                  </w:r>
                </w:p>
              </w:tc>
            </w:tr>
          </w:tbl>
          <w:p>
            <w:pPr>
              <w:pStyle w:val="null3"/>
              <w:ind w:firstLine="480"/>
              <w:jc w:val="both"/>
            </w:pPr>
            <w:r>
              <w:rPr>
                <w:rFonts w:ascii="仿宋_GB2312" w:hAnsi="仿宋_GB2312" w:cs="仿宋_GB2312" w:eastAsia="仿宋_GB2312"/>
                <w:sz w:val="24"/>
              </w:rPr>
              <w:t>三、服务执行要求</w:t>
            </w:r>
          </w:p>
          <w:p>
            <w:pPr>
              <w:pStyle w:val="null3"/>
              <w:ind w:firstLine="480"/>
              <w:jc w:val="both"/>
            </w:pPr>
            <w:r>
              <w:rPr>
                <w:rFonts w:ascii="仿宋_GB2312" w:hAnsi="仿宋_GB2312" w:cs="仿宋_GB2312" w:eastAsia="仿宋_GB2312"/>
                <w:sz w:val="24"/>
              </w:rPr>
              <w:t>（一）人员配置要求</w:t>
            </w:r>
          </w:p>
          <w:p>
            <w:pPr>
              <w:pStyle w:val="null3"/>
              <w:ind w:firstLine="480"/>
              <w:jc w:val="both"/>
            </w:pPr>
            <w:r>
              <w:rPr>
                <w:rFonts w:ascii="仿宋_GB2312" w:hAnsi="仿宋_GB2312" w:cs="仿宋_GB2312" w:eastAsia="仿宋_GB2312"/>
                <w:sz w:val="24"/>
              </w:rPr>
              <w:t>项目需配备专职工作人员</w:t>
            </w:r>
            <w:r>
              <w:rPr>
                <w:rFonts w:ascii="仿宋_GB2312" w:hAnsi="仿宋_GB2312" w:cs="仿宋_GB2312" w:eastAsia="仿宋_GB2312"/>
                <w:sz w:val="24"/>
              </w:rPr>
              <w:t>2名，负责日常服务统筹、执行及协调工作；建立专业化兼职协作团队，其中需包含持证社工 2 名，确保服务专业性。</w:t>
            </w:r>
          </w:p>
          <w:p>
            <w:pPr>
              <w:pStyle w:val="null3"/>
              <w:ind w:firstLine="480"/>
              <w:jc w:val="both"/>
            </w:pPr>
            <w:r>
              <w:rPr>
                <w:rFonts w:ascii="仿宋_GB2312" w:hAnsi="仿宋_GB2312" w:cs="仿宋_GB2312" w:eastAsia="仿宋_GB2312"/>
                <w:sz w:val="24"/>
              </w:rPr>
              <w:t>（二）服务档案管理要求</w:t>
            </w:r>
          </w:p>
          <w:p>
            <w:pPr>
              <w:pStyle w:val="null3"/>
              <w:ind w:firstLine="480"/>
              <w:jc w:val="both"/>
            </w:pPr>
            <w:r>
              <w:rPr>
                <w:rFonts w:ascii="仿宋_GB2312" w:hAnsi="仿宋_GB2312" w:cs="仿宋_GB2312" w:eastAsia="仿宋_GB2312"/>
                <w:sz w:val="24"/>
              </w:rPr>
              <w:t>档案内容需涵盖：困境儿童信息台账、重点困境儿童走访记录、监护评估档案、风险干预方案及报告、主题活动服务对象名册、活动签到表、宣传资料签收表、活动现场图片及视频资料等；严格遵守未成年人信息保护相关规定，对服务记录和档案实行分类管理、专人负责，确保资料的完整性、保密性和可追溯性。</w:t>
            </w:r>
          </w:p>
          <w:p>
            <w:pPr>
              <w:pStyle w:val="null3"/>
              <w:ind w:firstLine="480"/>
              <w:jc w:val="both"/>
            </w:pPr>
            <w:r>
              <w:rPr>
                <w:rFonts w:ascii="仿宋_GB2312" w:hAnsi="仿宋_GB2312" w:cs="仿宋_GB2312" w:eastAsia="仿宋_GB2312"/>
                <w:sz w:val="24"/>
              </w:rPr>
              <w:t>（三）服务进度报送要求</w:t>
            </w:r>
          </w:p>
          <w:p>
            <w:pPr>
              <w:pStyle w:val="null3"/>
              <w:ind w:firstLine="480"/>
              <w:jc w:val="both"/>
            </w:pPr>
            <w:r>
              <w:rPr>
                <w:rFonts w:ascii="仿宋_GB2312" w:hAnsi="仿宋_GB2312" w:cs="仿宋_GB2312" w:eastAsia="仿宋_GB2312"/>
                <w:sz w:val="24"/>
              </w:rPr>
              <w:t>服务机构需每月</w:t>
            </w:r>
            <w:r>
              <w:rPr>
                <w:rFonts w:ascii="仿宋_GB2312" w:hAnsi="仿宋_GB2312" w:cs="仿宋_GB2312" w:eastAsia="仿宋_GB2312"/>
                <w:sz w:val="24"/>
              </w:rPr>
              <w:t>5 日前，以书面工作简报形式向采购单位提交上月服务进度、实施成效、存在问题及下月计划，确保信息沟通及时高效。</w:t>
            </w:r>
          </w:p>
          <w:p>
            <w:pPr>
              <w:pStyle w:val="null3"/>
              <w:ind w:firstLine="480"/>
              <w:jc w:val="both"/>
            </w:pPr>
            <w:r>
              <w:rPr>
                <w:rFonts w:ascii="仿宋_GB2312" w:hAnsi="仿宋_GB2312" w:cs="仿宋_GB2312" w:eastAsia="仿宋_GB2312"/>
                <w:sz w:val="24"/>
              </w:rPr>
              <w:t>（四）项目宣传要求</w:t>
            </w:r>
          </w:p>
          <w:p>
            <w:pPr>
              <w:pStyle w:val="null3"/>
              <w:ind w:firstLine="480"/>
              <w:jc w:val="both"/>
            </w:pPr>
            <w:r>
              <w:rPr>
                <w:rFonts w:ascii="仿宋_GB2312" w:hAnsi="仿宋_GB2312" w:cs="仿宋_GB2312" w:eastAsia="仿宋_GB2312"/>
                <w:sz w:val="24"/>
              </w:rPr>
              <w:t>通过官方媒体、网络平台等渠道开展项目宣传，重点展示服务成效、典型案例；积极引导社会力量关注、参与困境未成年人保护工作，营造良好社会氛围。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符合国家法律法规及行业相关标准要求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预付款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完成项目80%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项目总体服务期满，验收合格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主体信用记录查询</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提供具有履行本合同所必须的设备和专业技术能力的说明及承诺书；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工作重点、难点及其解决措施</w:t>
            </w:r>
          </w:p>
        </w:tc>
        <w:tc>
          <w:tcPr>
            <w:tcW w:type="dxa" w:w="2492"/>
          </w:tcPr>
          <w:p>
            <w:pPr>
              <w:pStyle w:val="null3"/>
            </w:pPr>
            <w:r>
              <w:rPr>
                <w:rFonts w:ascii="仿宋_GB2312" w:hAnsi="仿宋_GB2312" w:cs="仿宋_GB2312" w:eastAsia="仿宋_GB2312"/>
              </w:rPr>
              <w:t>全面理解该项目的需求及目的，对本项目的关键点、重点和难点做出有针对性的分析，并提出解决方案。 ①内容完善，重难点分析到位，方案切实可行，完全能够保证工作顺利实施的计10分； 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针对本项目提出适用于本项目的整体方案,方案包括： ①服务目标 ②服务计划 ③服务流程 ④服务理念及特色。 完全满足采购需求并符合本项目实施特点的得24分；以上内容中每缺少一项内容扣6分；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供应商针对本项目具 有良好的管理制度，方案包含： ① 服务质量标准、现场质量控制体系 ② 内控制度：管理组织机构、问责机制、监督机制、自 查制度 ③人员管理制度;具有员工日常管理办法、请销假制度、奖惩 措施、 激励机制、仪容仪表制度。 完全满足采购需求并符合本项目实施特点的得9分；以上内容中每缺少一项内容扣3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供应商提供针对本项目拟投入的工作组成员的部署方案。方案内容包括但不限于:1、工作组成员管理组织架构、人员分工； 2、工作职责划分； 3、人员专业能力（提供对应人员的相关证书）4、项目临聘人员培训计划。 方案所涉及的拟投入的工作组成员管理组织架构清晰，人员分工和工作职责划分明确、业务管理流程详细，能有效保障本项目实施得16分，每有一项缺陷扣4分，每有一处内容存在缺陷，扣0.5分，扣完为止。 备注:缺陷是指内容不合理、虽有内容但不完善、内容表述 前后不一致，人员匹配不合理或与项目需求不匹配及其他不利于项目实施的等任意一种情形。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需提供本项目针对项目的应急响应服务： ①应急响应保障人员 ②应急响应保障方案③应急响应时效 ④应急响应方法 完全满足采购需求并符合本项目实施特点的得16分；以上内容中每缺少一项内容扣4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根据本项目服务要求提供服务保障措施，方案包含但不限于未成年人关爱保护措施，各项服务内容保障措施等，内容科学完整、清晰合理，符合项目实施的得6分，每有一处内容存在缺陷，扣0.5分，扣完为止。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2023年 1 月 1 日以来的未成年人社会保护服务业绩，每提供一个业绩得3 分，最多得9分，不提供不得分。（须提供合同或中标通知书，以合同签订时间或中标通知书发出时间为准）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1.经初审合格的磋商文件，其最终报价为有效报价。对符合政策性扣减的有效磋商报价进 行政策性扣减，并依据扣减后的价格（评审价格）进行价格评审。 2.满足磋商文件要求且 最终报价最低的供应商的价格为磋商基准价，其价格分为满分。其他供应商的价格分按照 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