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i w:val="0"/>
          <w:iCs w:val="0"/>
          <w:caps w:val="0"/>
          <w:color w:val="auto"/>
          <w:spacing w:val="0"/>
          <w:kern w:val="0"/>
          <w:sz w:val="28"/>
          <w:szCs w:val="28"/>
          <w:shd w:val="clear" w:fill="FFFFFF"/>
          <w:lang w:val="en-US" w:eastAsia="zh-CN" w:bidi="ar"/>
        </w:rPr>
        <w:t>陕西启航项目管理咨询有限公司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i w:val="0"/>
          <w:iCs w:val="0"/>
          <w:caps w:val="0"/>
          <w:color w:val="auto"/>
          <w:spacing w:val="0"/>
          <w:kern w:val="0"/>
          <w:sz w:val="28"/>
          <w:szCs w:val="28"/>
          <w:u w:val="single"/>
          <w:shd w:val="clear" w:fill="FFFFFF"/>
          <w:lang w:val="en-US" w:eastAsia="zh-CN" w:bidi="ar"/>
        </w:rPr>
        <w:t>陕西启航项目管理咨询有限公司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5、提供递交投标文件截止日前一年内已缴存的至少一个月的社会保障资金缴存单据或社保机构开具的社会保险参保缴费情况证明，依法不需要缴纳社会保障资金的单位应提供相关证明材料；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jc w:val="both"/>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8、</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5AD897D4">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51F4F1E1">
      <w:pPr>
        <w:numPr>
          <w:ilvl w:val="0"/>
          <w:numId w:val="0"/>
        </w:num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9、供应商需提供中小企业声明函</w:t>
      </w:r>
    </w:p>
    <w:p w14:paraId="6B536495">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736F56B">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10、提供直接控股和管理关系清单。若与其他供应商存在单位负责人为同一人或者存在直接控股、管理关系的，则投标无效；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11</w:t>
      </w:r>
      <w:bookmarkStart w:id="0" w:name="_GoBack"/>
      <w:bookmarkEnd w:id="0"/>
      <w:r>
        <w:rPr>
          <w:rFonts w:hint="eastAsia" w:ascii="宋体" w:hAnsi="宋体" w:eastAsia="宋体" w:cs="宋体"/>
          <w:b w:val="0"/>
          <w:bCs w:val="0"/>
          <w:kern w:val="0"/>
          <w:sz w:val="28"/>
          <w:szCs w:val="28"/>
          <w:highlight w:val="none"/>
          <w:lang w:val="en-US" w:eastAsia="zh-CN"/>
        </w:rPr>
        <w:t>、</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6046C1"/>
    <w:rsid w:val="07261BF2"/>
    <w:rsid w:val="0AF049F1"/>
    <w:rsid w:val="0B5C5BE2"/>
    <w:rsid w:val="0F1D7D30"/>
    <w:rsid w:val="0FE443F8"/>
    <w:rsid w:val="100D1BA1"/>
    <w:rsid w:val="129C545E"/>
    <w:rsid w:val="12D33C1C"/>
    <w:rsid w:val="13337B71"/>
    <w:rsid w:val="183C77F0"/>
    <w:rsid w:val="18763A54"/>
    <w:rsid w:val="19220E10"/>
    <w:rsid w:val="195C76F5"/>
    <w:rsid w:val="19980027"/>
    <w:rsid w:val="1A2E1092"/>
    <w:rsid w:val="1B494EEE"/>
    <w:rsid w:val="1D70551D"/>
    <w:rsid w:val="1DC31AF1"/>
    <w:rsid w:val="1F42069C"/>
    <w:rsid w:val="1F4E188E"/>
    <w:rsid w:val="2005703C"/>
    <w:rsid w:val="209A4306"/>
    <w:rsid w:val="27337CE7"/>
    <w:rsid w:val="28FE4325"/>
    <w:rsid w:val="29835000"/>
    <w:rsid w:val="29C34919"/>
    <w:rsid w:val="2CBC252D"/>
    <w:rsid w:val="30BB060A"/>
    <w:rsid w:val="35F501D3"/>
    <w:rsid w:val="36EA7C97"/>
    <w:rsid w:val="37D83F93"/>
    <w:rsid w:val="38A7041B"/>
    <w:rsid w:val="394C786B"/>
    <w:rsid w:val="3DA037A5"/>
    <w:rsid w:val="3FA54EEF"/>
    <w:rsid w:val="3FEA72AB"/>
    <w:rsid w:val="3FF2677B"/>
    <w:rsid w:val="42C51FD6"/>
    <w:rsid w:val="4449411A"/>
    <w:rsid w:val="484C07B1"/>
    <w:rsid w:val="490C144A"/>
    <w:rsid w:val="49262DB0"/>
    <w:rsid w:val="4951704A"/>
    <w:rsid w:val="4A0B1FA6"/>
    <w:rsid w:val="4B8C383C"/>
    <w:rsid w:val="52862B12"/>
    <w:rsid w:val="52FC75B4"/>
    <w:rsid w:val="53A62CC7"/>
    <w:rsid w:val="54B90F7D"/>
    <w:rsid w:val="57415C40"/>
    <w:rsid w:val="5B21162A"/>
    <w:rsid w:val="5D6677C8"/>
    <w:rsid w:val="5F1D5A08"/>
    <w:rsid w:val="5F41673E"/>
    <w:rsid w:val="61BE5E24"/>
    <w:rsid w:val="638C3D00"/>
    <w:rsid w:val="667E35FF"/>
    <w:rsid w:val="68C55CEA"/>
    <w:rsid w:val="6985296C"/>
    <w:rsid w:val="6C507FC1"/>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2466</Words>
  <Characters>2565</Characters>
  <Lines>0</Lines>
  <Paragraphs>0</Paragraphs>
  <TotalTime>3</TotalTime>
  <ScaleCrop>false</ScaleCrop>
  <LinksUpToDate>false</LinksUpToDate>
  <CharactersWithSpaces>3303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2026-01-28T10:09:54Z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