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版本号：SGLQ-2025045.1B220260209001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周至县教育局2026年公办幼儿园校车服务项目(三次)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SGLQ-2025045.1B2</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周至县教育局2026年公办幼儿园校车服务项目(三次)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SGLQ-2025045.1B2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周至县教育局2026年公办幼儿园校车服务项目(三次)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周至县教育局2026年公办幼儿园校车服务，具体内容详见招标文件。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采购包1（周至县教育局2026年公办幼儿园校车服务项目）：属于专门面向中小企业采购。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3、税收缴纳证明：提供2025年01月01日至今已缴纳的至少三个月纳税证明或完税证明，依法免税的单位应提供相关证明材料；</w:t>
      </w:r>
    </w:p>
    <w:p>
      <w:pPr>
        <w:pStyle w:val="null3"/>
      </w:pPr>
      <w:r>
        <w:rPr>
          <w:rFonts w:ascii="仿宋_GB2312" w:hAnsi="仿宋_GB2312" w:cs="仿宋_GB2312" w:eastAsia="仿宋_GB2312"/>
        </w:rPr>
        <w:t>4、社会保障资金缴纳证明：提供2025年01月01日至今已缴存的至少三个月的社会保障资金缴存单据或社保机构开具的社会保险参保缴费情况证明，依法不需要缴纳社会保障资金的单位应提供相关证明材料；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www.ccgp.gov.cn)“政府采购严重违法失信行为信息记录”中的禁止参加政府采购活动期间；</w:t>
      </w:r>
    </w:p>
    <w:p>
      <w:pPr>
        <w:pStyle w:val="null3"/>
      </w:pPr>
      <w:r>
        <w:rPr>
          <w:rFonts w:ascii="仿宋_GB2312" w:hAnsi="仿宋_GB2312" w:cs="仿宋_GB2312" w:eastAsia="仿宋_GB2312"/>
        </w:rPr>
        <w:t>8、授权代表：供应商应授权合法的人员参加投标全过程，其中法定代表人直接参加投标的，须出具法定代表人身份证复印件，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9、控股、管理关系：单位负责人为同一人或者存在直接控股、管理关系的不同单位，不得参加同一项下的政府采购活动。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029-87151801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代理服务费收费标准：招标代理服务费参照国家发展计划委员会文件《计价格〔2002〕1980号》和发改办价格〔2003〕857号规定的收费标准为基准，以“差额定率累进法”计算。 招标代理服务费在中标通知书发出时由中标人以银行转账的形式一次性支付招标代理机构。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周至县教育和科学技术局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完成合同约定的全部内容，完成招标文件及投标文件约定的全部内容。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联系人：燕彪</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地址：西安市雁塔区曲江街道金辉环球中心C座1509室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本项目拟为周至县幼儿园配备校车58辆，承担校车运营等工作，具体内容详见招标文件。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4,060,000.00</w:t>
      </w:r>
    </w:p>
    <w:p>
      <w:pPr>
        <w:pStyle w:val="null3"/>
      </w:pPr>
      <w:r>
        <w:rPr>
          <w:rFonts w:ascii="仿宋_GB2312" w:hAnsi="仿宋_GB2312" w:cs="仿宋_GB2312" w:eastAsia="仿宋_GB2312"/>
        </w:rPr>
        <w:t>采购包最高限价（元）: 4,060,000.00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详见招投标文件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标的名称：详见招投标文件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为了加强校车安全管理，规范校车运营管理工作，依据《校车安全管理条例》（国务院令第617号）、《陕西省实施&lt;校车安全管理条例&gt;办法》（陕西省人民政府令第164号）、《西安市校车安全管理办法》（西安市人民政府令第104号），以及《财政部政府购买服务管理办法（暂行）》，《中华人民共和国合同法和中华人民共和国政府采购法》，甲方（周至县教育局）通过公开招标采购公办幼儿园校车服务公司提供的产品和服务。</w:t>
            </w:r>
          </w:p>
          <w:p>
            <w:pPr>
              <w:pStyle w:val="null3"/>
              <w:ind w:firstLine="482"/>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服务内容：</w:t>
            </w:r>
          </w:p>
          <w:p>
            <w:pPr>
              <w:pStyle w:val="null3"/>
              <w:ind w:firstLine="480"/>
            </w:pPr>
            <w:r>
              <w:rPr>
                <w:rFonts w:ascii="仿宋_GB2312" w:hAnsi="仿宋_GB2312" w:cs="仿宋_GB2312" w:eastAsia="仿宋_GB2312"/>
                <w:sz w:val="24"/>
                <w:color w:val="000000"/>
              </w:rPr>
              <w:t>乙方为周至县幼儿园配备校车</w:t>
            </w:r>
            <w:r>
              <w:rPr>
                <w:rFonts w:ascii="仿宋_GB2312" w:hAnsi="仿宋_GB2312" w:cs="仿宋_GB2312" w:eastAsia="仿宋_GB2312"/>
                <w:sz w:val="24"/>
                <w:color w:val="000000"/>
              </w:rPr>
              <w:t>58</w:t>
            </w:r>
            <w:r>
              <w:rPr>
                <w:rFonts w:ascii="仿宋_GB2312" w:hAnsi="仿宋_GB2312" w:cs="仿宋_GB2312" w:eastAsia="仿宋_GB2312"/>
                <w:sz w:val="24"/>
                <w:color w:val="000000"/>
              </w:rPr>
              <w:t>辆，承担校车运营等工作，并服从甲方的管理。</w:t>
            </w:r>
          </w:p>
          <w:p>
            <w:pPr>
              <w:pStyle w:val="null3"/>
              <w:ind w:firstLine="482"/>
            </w:pPr>
            <w:r>
              <w:rPr>
                <w:rFonts w:ascii="仿宋_GB2312" w:hAnsi="仿宋_GB2312" w:cs="仿宋_GB2312" w:eastAsia="仿宋_GB2312"/>
                <w:sz w:val="24"/>
                <w:b/>
                <w:color w:val="000000"/>
              </w:rPr>
              <w:t>二、服务方式：</w:t>
            </w:r>
          </w:p>
          <w:p>
            <w:pPr>
              <w:pStyle w:val="null3"/>
              <w:ind w:firstLine="480"/>
            </w:pPr>
            <w:r>
              <w:rPr>
                <w:rFonts w:ascii="仿宋_GB2312" w:hAnsi="仿宋_GB2312" w:cs="仿宋_GB2312" w:eastAsia="仿宋_GB2312"/>
                <w:sz w:val="24"/>
                <w:color w:val="000000"/>
              </w:rPr>
              <w:t>乙方承担周至县公办幼儿园幼儿早晚接送工作，并保证幼儿的上下学安全。</w:t>
            </w:r>
          </w:p>
          <w:p>
            <w:pPr>
              <w:pStyle w:val="null3"/>
              <w:ind w:firstLine="482"/>
            </w:pPr>
            <w:r>
              <w:rPr>
                <w:rFonts w:ascii="仿宋_GB2312" w:hAnsi="仿宋_GB2312" w:cs="仿宋_GB2312" w:eastAsia="仿宋_GB2312"/>
                <w:sz w:val="24"/>
                <w:b/>
                <w:color w:val="000000"/>
              </w:rPr>
              <w:t>三、双方责任：</w:t>
            </w:r>
          </w:p>
          <w:p>
            <w:pPr>
              <w:pStyle w:val="null3"/>
              <w:ind w:firstLine="480"/>
            </w:pPr>
            <w:r>
              <w:rPr>
                <w:rFonts w:ascii="仿宋_GB2312" w:hAnsi="仿宋_GB2312" w:cs="仿宋_GB2312" w:eastAsia="仿宋_GB2312"/>
                <w:sz w:val="24"/>
                <w:color w:val="000000"/>
              </w:rPr>
              <w:t>1．乙方提供的车辆必须保证质量可靠，手续齐全，应全面满足招标文件的要求，所供车辆质量应严格按照《校车安全管理条例》（国务院令第617号）规范标准执行，鼓励清洁能源车参与运营，如发生质量问题由乙方承担全部责任。</w:t>
            </w:r>
          </w:p>
          <w:p>
            <w:pPr>
              <w:pStyle w:val="null3"/>
              <w:ind w:firstLine="480"/>
            </w:pPr>
            <w:r>
              <w:rPr>
                <w:rFonts w:ascii="仿宋_GB2312" w:hAnsi="仿宋_GB2312" w:cs="仿宋_GB2312" w:eastAsia="仿宋_GB2312"/>
                <w:sz w:val="24"/>
                <w:color w:val="000000"/>
              </w:rPr>
              <w:t>2.乙方要建立健全校车安全管理制度，配备安全管理人员，加强校车的安全维护，定期对校车驾驶人进行安全教育，组织校车驾驶人学习道路交通安全法律法规及安全防范、应急处置和应急救援知识，保障学生乘车安全。</w:t>
            </w:r>
          </w:p>
          <w:p>
            <w:pPr>
              <w:pStyle w:val="null3"/>
              <w:ind w:firstLine="480"/>
            </w:pPr>
            <w:r>
              <w:rPr>
                <w:rFonts w:ascii="仿宋_GB2312" w:hAnsi="仿宋_GB2312" w:cs="仿宋_GB2312" w:eastAsia="仿宋_GB2312"/>
                <w:sz w:val="24"/>
                <w:color w:val="000000"/>
              </w:rPr>
              <w:t>3．乙方要配备的校车驾驶人员应当依照《校车安全管理条例》（国务院令第617号）第四章第二十三条规定取得校车驾驶资格，且要经公安机关交通管理部门同意后方能使用，定期对驾驶人员进行交通安全知识培训和身体健康检查，确保驾驶人员身心健康情况下驾驶校车。</w:t>
            </w:r>
          </w:p>
          <w:p>
            <w:pPr>
              <w:pStyle w:val="null3"/>
              <w:ind w:firstLine="480"/>
            </w:pPr>
            <w:r>
              <w:rPr>
                <w:rFonts w:ascii="仿宋_GB2312" w:hAnsi="仿宋_GB2312" w:cs="仿宋_GB2312" w:eastAsia="仿宋_GB2312"/>
                <w:sz w:val="24"/>
                <w:color w:val="000000"/>
              </w:rPr>
              <w:t>4．乙方在运营之时要负责校车安全管理人员、跟车老师和幼儿的安全，然后再与接送学生学校签订租用合同和安全责任书；严禁超员、超速接送学生；在运营过程中不得搭乘除跟车人员和学生外的任何人；驾驶人员在工作期间发生疾病或死亡，甲方不承担任何责任，善后事务处理由乙方协调解决。</w:t>
            </w:r>
          </w:p>
          <w:p>
            <w:pPr>
              <w:pStyle w:val="null3"/>
              <w:ind w:firstLine="480"/>
            </w:pPr>
            <w:r>
              <w:rPr>
                <w:rFonts w:ascii="仿宋_GB2312" w:hAnsi="仿宋_GB2312" w:cs="仿宋_GB2312" w:eastAsia="仿宋_GB2312"/>
                <w:sz w:val="24"/>
                <w:color w:val="000000"/>
              </w:rPr>
              <w:t>5．乙方在接送学生途中因违法操作，或因车辆存在安全隐患等造成的一切安全事故由乙方承担全部经济损失和法律责任，甲方不承担任何连带责任。</w:t>
            </w:r>
          </w:p>
          <w:p>
            <w:pPr>
              <w:pStyle w:val="null3"/>
              <w:ind w:firstLine="480"/>
            </w:pPr>
            <w:r>
              <w:rPr>
                <w:rFonts w:ascii="仿宋_GB2312" w:hAnsi="仿宋_GB2312" w:cs="仿宋_GB2312" w:eastAsia="仿宋_GB2312"/>
                <w:sz w:val="24"/>
                <w:color w:val="000000"/>
              </w:rPr>
              <w:t>6．乙方配备接送学生车辆要依据甲方学校接送线路，接送车辆要守时，不得随意更改线路。若要更改校车行驶线路必须同所服务的学校协商同意后方可实施。</w:t>
            </w:r>
          </w:p>
          <w:p>
            <w:pPr>
              <w:pStyle w:val="null3"/>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．甲方督促检查乙方安全运营工作，积极协调相关部门足额及时拨付合同价款。</w:t>
            </w:r>
          </w:p>
          <w:p>
            <w:pPr>
              <w:pStyle w:val="null3"/>
              <w:ind w:firstLine="480"/>
            </w:pPr>
            <w:r>
              <w:rPr>
                <w:rFonts w:ascii="仿宋_GB2312" w:hAnsi="仿宋_GB2312" w:cs="仿宋_GB2312" w:eastAsia="仿宋_GB2312"/>
                <w:sz w:val="24"/>
                <w:color w:val="000000"/>
              </w:rPr>
              <w:t>8.校车照管人员依据国务院《校车安全管理条例》</w:t>
            </w:r>
            <w:r>
              <w:rPr>
                <w:rFonts w:ascii="仿宋_GB2312" w:hAnsi="仿宋_GB2312" w:cs="仿宋_GB2312" w:eastAsia="仿宋_GB2312"/>
                <w:sz w:val="24"/>
                <w:color w:val="000000"/>
              </w:rPr>
              <w:t>（国务院令第617号）第六章第三十八条、第三十九条的规定</w:t>
            </w:r>
            <w:r>
              <w:rPr>
                <w:rFonts w:ascii="仿宋_GB2312" w:hAnsi="仿宋_GB2312" w:cs="仿宋_GB2312" w:eastAsia="仿宋_GB2312"/>
                <w:sz w:val="24"/>
                <w:color w:val="000000"/>
              </w:rPr>
              <w:t>配备。</w:t>
            </w:r>
          </w:p>
          <w:p>
            <w:pPr>
              <w:pStyle w:val="null3"/>
              <w:ind w:firstLine="482"/>
            </w:pPr>
            <w:r>
              <w:rPr>
                <w:rFonts w:ascii="仿宋_GB2312" w:hAnsi="仿宋_GB2312" w:cs="仿宋_GB2312" w:eastAsia="仿宋_GB2312"/>
                <w:sz w:val="24"/>
                <w:b/>
                <w:color w:val="000000"/>
              </w:rPr>
              <w:t>四、驾驶人员要求</w:t>
            </w:r>
          </w:p>
          <w:p>
            <w:pPr>
              <w:pStyle w:val="null3"/>
              <w:ind w:firstLine="496"/>
            </w:pPr>
            <w:r>
              <w:rPr>
                <w:rFonts w:ascii="仿宋_GB2312" w:hAnsi="仿宋_GB2312" w:cs="仿宋_GB2312" w:eastAsia="仿宋_GB2312"/>
                <w:sz w:val="24"/>
                <w:color w:val="000000"/>
              </w:rPr>
              <w:t>校车公司的校车驾驶人员要符合国务院《校车安全管理条例》第四章第二十三条的规定：</w:t>
            </w:r>
          </w:p>
          <w:p>
            <w:pPr>
              <w:pStyle w:val="null3"/>
              <w:ind w:firstLine="496"/>
            </w:pPr>
            <w:r>
              <w:rPr>
                <w:rFonts w:ascii="仿宋_GB2312" w:hAnsi="仿宋_GB2312" w:cs="仿宋_GB2312" w:eastAsia="仿宋_GB2312"/>
                <w:sz w:val="24"/>
                <w:color w:val="000000"/>
              </w:rPr>
              <w:t>(1)取得相应准驾车型驾驶证并具有3年以上驾驶经历，年龄在25周岁以上，不超过60周岁；</w:t>
            </w:r>
          </w:p>
          <w:p>
            <w:pPr>
              <w:pStyle w:val="null3"/>
              <w:ind w:firstLine="496"/>
            </w:pPr>
            <w:r>
              <w:rPr>
                <w:rFonts w:ascii="仿宋_GB2312" w:hAnsi="仿宋_GB2312" w:cs="仿宋_GB2312" w:eastAsia="仿宋_GB2312"/>
                <w:sz w:val="24"/>
                <w:color w:val="000000"/>
              </w:rPr>
              <w:t>(2)最近连续3个记分周期内没有被记满分记录</w:t>
            </w:r>
            <w:r>
              <w:rPr>
                <w:rFonts w:ascii="仿宋_GB2312" w:hAnsi="仿宋_GB2312" w:cs="仿宋_GB2312" w:eastAsia="仿宋_GB2312"/>
                <w:sz w:val="24"/>
                <w:b/>
                <w:color w:val="000000"/>
              </w:rPr>
              <w:t>（提供承诺书，格式自拟）</w:t>
            </w:r>
            <w:r>
              <w:rPr>
                <w:rFonts w:ascii="仿宋_GB2312" w:hAnsi="仿宋_GB2312" w:cs="仿宋_GB2312" w:eastAsia="仿宋_GB2312"/>
                <w:sz w:val="24"/>
                <w:color w:val="000000"/>
              </w:rPr>
              <w:t>；</w:t>
            </w:r>
          </w:p>
          <w:p>
            <w:pPr>
              <w:pStyle w:val="null3"/>
              <w:ind w:firstLine="496"/>
            </w:pPr>
            <w:r>
              <w:rPr>
                <w:rFonts w:ascii="仿宋_GB2312" w:hAnsi="仿宋_GB2312" w:cs="仿宋_GB2312" w:eastAsia="仿宋_GB2312"/>
                <w:sz w:val="24"/>
                <w:color w:val="000000"/>
              </w:rPr>
              <w:t>(3)无致人死亡或者重伤的交通事故责任记录</w:t>
            </w:r>
            <w:r>
              <w:rPr>
                <w:rFonts w:ascii="仿宋_GB2312" w:hAnsi="仿宋_GB2312" w:cs="仿宋_GB2312" w:eastAsia="仿宋_GB2312"/>
                <w:sz w:val="24"/>
                <w:b/>
                <w:color w:val="000000"/>
              </w:rPr>
              <w:t>（提供承诺书，格式自拟）</w:t>
            </w:r>
            <w:r>
              <w:rPr>
                <w:rFonts w:ascii="仿宋_GB2312" w:hAnsi="仿宋_GB2312" w:cs="仿宋_GB2312" w:eastAsia="仿宋_GB2312"/>
                <w:sz w:val="24"/>
                <w:color w:val="000000"/>
              </w:rPr>
              <w:t>；</w:t>
            </w:r>
          </w:p>
          <w:p>
            <w:pPr>
              <w:pStyle w:val="null3"/>
              <w:ind w:firstLine="496"/>
            </w:pPr>
            <w:r>
              <w:rPr>
                <w:rFonts w:ascii="仿宋_GB2312" w:hAnsi="仿宋_GB2312" w:cs="仿宋_GB2312" w:eastAsia="仿宋_GB2312"/>
                <w:sz w:val="24"/>
                <w:color w:val="000000"/>
              </w:rPr>
              <w:t>(4)无饮酒后驾驶或者醉酒驾驶机动车记录，最近1年内无驾驶客运车辆超员、超速等严重交通违法行为记录</w:t>
            </w:r>
            <w:r>
              <w:rPr>
                <w:rFonts w:ascii="仿宋_GB2312" w:hAnsi="仿宋_GB2312" w:cs="仿宋_GB2312" w:eastAsia="仿宋_GB2312"/>
                <w:sz w:val="24"/>
                <w:b/>
                <w:color w:val="000000"/>
              </w:rPr>
              <w:t>（提供承诺书，格式自拟）</w:t>
            </w:r>
            <w:r>
              <w:rPr>
                <w:rFonts w:ascii="仿宋_GB2312" w:hAnsi="仿宋_GB2312" w:cs="仿宋_GB2312" w:eastAsia="仿宋_GB2312"/>
                <w:sz w:val="24"/>
                <w:color w:val="000000"/>
              </w:rPr>
              <w:t>；</w:t>
            </w:r>
          </w:p>
          <w:p>
            <w:pPr>
              <w:pStyle w:val="null3"/>
              <w:ind w:firstLine="496"/>
            </w:pPr>
            <w:r>
              <w:rPr>
                <w:rFonts w:ascii="仿宋_GB2312" w:hAnsi="仿宋_GB2312" w:cs="仿宋_GB2312" w:eastAsia="仿宋_GB2312"/>
                <w:sz w:val="24"/>
                <w:color w:val="000000"/>
              </w:rPr>
              <w:t>(5)无犯罪记录</w:t>
            </w:r>
            <w:r>
              <w:rPr>
                <w:rFonts w:ascii="仿宋_GB2312" w:hAnsi="仿宋_GB2312" w:cs="仿宋_GB2312" w:eastAsia="仿宋_GB2312"/>
                <w:sz w:val="24"/>
                <w:b/>
                <w:color w:val="000000"/>
              </w:rPr>
              <w:t>（提供承诺书，格式自拟）</w:t>
            </w:r>
            <w:r>
              <w:rPr>
                <w:rFonts w:ascii="仿宋_GB2312" w:hAnsi="仿宋_GB2312" w:cs="仿宋_GB2312" w:eastAsia="仿宋_GB2312"/>
                <w:sz w:val="24"/>
                <w:color w:val="000000"/>
              </w:rPr>
              <w:t>；</w:t>
            </w:r>
          </w:p>
          <w:p>
            <w:pPr>
              <w:pStyle w:val="null3"/>
              <w:ind w:firstLine="496"/>
            </w:pPr>
            <w:r>
              <w:rPr>
                <w:rFonts w:ascii="仿宋_GB2312" w:hAnsi="仿宋_GB2312" w:cs="仿宋_GB2312" w:eastAsia="仿宋_GB2312"/>
                <w:sz w:val="24"/>
                <w:color w:val="000000"/>
              </w:rPr>
              <w:t>(6)身心健康，无传染性疾病，无癫痫、精神病等可能危及行车安全的疾病病史，无酗酒、吸毒行为记录</w:t>
            </w:r>
            <w:r>
              <w:rPr>
                <w:rFonts w:ascii="仿宋_GB2312" w:hAnsi="仿宋_GB2312" w:cs="仿宋_GB2312" w:eastAsia="仿宋_GB2312"/>
                <w:sz w:val="24"/>
                <w:b/>
                <w:color w:val="000000"/>
              </w:rPr>
              <w:t>（提供承诺书，格式自拟）</w:t>
            </w:r>
            <w:r>
              <w:rPr>
                <w:rFonts w:ascii="仿宋_GB2312" w:hAnsi="仿宋_GB2312" w:cs="仿宋_GB2312" w:eastAsia="仿宋_GB2312"/>
                <w:sz w:val="24"/>
                <w:color w:val="000000"/>
              </w:rPr>
              <w:t>；</w:t>
            </w:r>
          </w:p>
          <w:p>
            <w:pPr>
              <w:pStyle w:val="null3"/>
              <w:ind w:firstLine="496"/>
            </w:pPr>
            <w:r>
              <w:rPr>
                <w:rFonts w:ascii="仿宋_GB2312" w:hAnsi="仿宋_GB2312" w:cs="仿宋_GB2312" w:eastAsia="仿宋_GB2312"/>
                <w:sz w:val="24"/>
                <w:color w:val="000000"/>
              </w:rPr>
              <w:t>(7)驾驶19座以上的校车驾驶员持A1驾驶证照，驾驶19座以下（含19座）的校车驾驶员需持b1及以上驾驶证照</w:t>
            </w:r>
            <w:r>
              <w:rPr>
                <w:rFonts w:ascii="仿宋_GB2312" w:hAnsi="仿宋_GB2312" w:cs="仿宋_GB2312" w:eastAsia="仿宋_GB2312"/>
                <w:sz w:val="24"/>
                <w:b/>
                <w:color w:val="000000"/>
              </w:rPr>
              <w:t>（提供驾驶人员驾驶证件）</w:t>
            </w:r>
            <w:r>
              <w:rPr>
                <w:rFonts w:ascii="仿宋_GB2312" w:hAnsi="仿宋_GB2312" w:cs="仿宋_GB2312" w:eastAsia="仿宋_GB2312"/>
                <w:sz w:val="24"/>
                <w:color w:val="000000"/>
              </w:rPr>
              <w:t>。</w:t>
            </w:r>
          </w:p>
          <w:p>
            <w:pPr>
              <w:pStyle w:val="null3"/>
              <w:ind w:firstLine="498"/>
            </w:pPr>
            <w:r>
              <w:rPr>
                <w:rFonts w:ascii="仿宋_GB2312" w:hAnsi="仿宋_GB2312" w:cs="仿宋_GB2312" w:eastAsia="仿宋_GB2312"/>
                <w:sz w:val="24"/>
                <w:b/>
                <w:color w:val="000000"/>
              </w:rPr>
              <w:t>五、运营要求</w:t>
            </w:r>
          </w:p>
          <w:p>
            <w:pPr>
              <w:pStyle w:val="null3"/>
              <w:ind w:firstLine="496"/>
            </w:pPr>
            <w:r>
              <w:rPr>
                <w:rFonts w:ascii="仿宋_GB2312" w:hAnsi="仿宋_GB2312" w:cs="仿宋_GB2312" w:eastAsia="仿宋_GB2312"/>
                <w:sz w:val="24"/>
                <w:color w:val="000000"/>
              </w:rPr>
              <w:t>（1）</w:t>
            </w:r>
            <w:r>
              <w:rPr>
                <w:rFonts w:ascii="仿宋_GB2312" w:hAnsi="仿宋_GB2312" w:cs="仿宋_GB2312" w:eastAsia="仿宋_GB2312"/>
                <w:sz w:val="24"/>
                <w:color w:val="000000"/>
              </w:rPr>
              <w:t>乙方根据甲方要求制定项目执行过程中的详细实施计划和车辆、人员的安排计划。</w:t>
            </w:r>
          </w:p>
          <w:p>
            <w:pPr>
              <w:pStyle w:val="null3"/>
              <w:ind w:firstLine="496"/>
            </w:pPr>
            <w:r>
              <w:rPr>
                <w:rFonts w:ascii="仿宋_GB2312" w:hAnsi="仿宋_GB2312" w:cs="仿宋_GB2312" w:eastAsia="仿宋_GB2312"/>
                <w:sz w:val="24"/>
                <w:color w:val="000000"/>
              </w:rPr>
              <w:t>（2）</w:t>
            </w:r>
            <w:r>
              <w:rPr>
                <w:rFonts w:ascii="仿宋_GB2312" w:hAnsi="仿宋_GB2312" w:cs="仿宋_GB2312" w:eastAsia="仿宋_GB2312"/>
                <w:sz w:val="24"/>
                <w:color w:val="000000"/>
              </w:rPr>
              <w:t>乙方应制定在车辆出现紧急故障或者人员特殊状况时的应急预案。</w:t>
            </w:r>
          </w:p>
          <w:p>
            <w:pPr>
              <w:pStyle w:val="null3"/>
              <w:ind w:firstLine="496"/>
            </w:pPr>
            <w:r>
              <w:rPr>
                <w:rFonts w:ascii="仿宋_GB2312" w:hAnsi="仿宋_GB2312" w:cs="仿宋_GB2312" w:eastAsia="仿宋_GB2312"/>
                <w:sz w:val="24"/>
                <w:color w:val="000000"/>
              </w:rPr>
              <w:t>（3）</w:t>
            </w:r>
            <w:r>
              <w:rPr>
                <w:rFonts w:ascii="仿宋_GB2312" w:hAnsi="仿宋_GB2312" w:cs="仿宋_GB2312" w:eastAsia="仿宋_GB2312"/>
                <w:sz w:val="24"/>
                <w:color w:val="000000"/>
              </w:rPr>
              <w:t>乙方在项目执行过程中车辆和人员需第一时间优先保证，以确保项目的正常运行。</w:t>
            </w:r>
          </w:p>
          <w:p>
            <w:pPr>
              <w:pStyle w:val="null3"/>
              <w:ind w:firstLine="496"/>
            </w:pPr>
            <w:r>
              <w:rPr>
                <w:rFonts w:ascii="仿宋_GB2312" w:hAnsi="仿宋_GB2312" w:cs="仿宋_GB2312" w:eastAsia="仿宋_GB2312"/>
                <w:sz w:val="24"/>
                <w:color w:val="000000"/>
              </w:rPr>
              <w:t>（4）</w:t>
            </w:r>
            <w:r>
              <w:rPr>
                <w:rFonts w:ascii="仿宋_GB2312" w:hAnsi="仿宋_GB2312" w:cs="仿宋_GB2312" w:eastAsia="仿宋_GB2312"/>
                <w:sz w:val="24"/>
                <w:color w:val="000000"/>
              </w:rPr>
              <w:t>乙方应定期对车辆进行检查、维修、保养，其费用包括在合同总价款中。</w:t>
            </w:r>
          </w:p>
          <w:p>
            <w:pPr>
              <w:pStyle w:val="null3"/>
              <w:ind w:firstLine="498"/>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安全培训</w:t>
            </w:r>
          </w:p>
          <w:p>
            <w:pPr>
              <w:pStyle w:val="null3"/>
              <w:ind w:firstLine="496"/>
            </w:pPr>
            <w:r>
              <w:rPr>
                <w:rFonts w:ascii="仿宋_GB2312" w:hAnsi="仿宋_GB2312" w:cs="仿宋_GB2312" w:eastAsia="仿宋_GB2312"/>
                <w:sz w:val="24"/>
                <w:color w:val="000000"/>
              </w:rPr>
              <w:t>乙方需提供针对本项目制定定期安全培训计划，安全培训以驾驶人员熟</w:t>
            </w:r>
            <w:r>
              <w:rPr>
                <w:rFonts w:ascii="仿宋_GB2312" w:hAnsi="仿宋_GB2312" w:cs="仿宋_GB2312" w:eastAsia="仿宋_GB2312"/>
                <w:sz w:val="24"/>
                <w:color w:val="000000"/>
              </w:rPr>
              <w:t>练掌握安全驾驶要求为原则，并进行相应的安全培训考核；对安全管理人员进行相关培训，确保一切安全。</w:t>
            </w:r>
          </w:p>
          <w:p>
            <w:pPr>
              <w:pStyle w:val="null3"/>
              <w:ind w:firstLine="482"/>
            </w:pPr>
            <w:r>
              <w:rPr>
                <w:rFonts w:ascii="仿宋_GB2312" w:hAnsi="仿宋_GB2312" w:cs="仿宋_GB2312" w:eastAsia="仿宋_GB2312"/>
                <w:sz w:val="24"/>
                <w:b/>
                <w:color w:val="000000"/>
              </w:rPr>
              <w:t>七、付款方式：</w:t>
            </w:r>
            <w:r>
              <w:rPr>
                <w:rFonts w:ascii="仿宋_GB2312" w:hAnsi="仿宋_GB2312" w:cs="仿宋_GB2312" w:eastAsia="仿宋_GB2312"/>
                <w:sz w:val="24"/>
                <w:color w:val="000000"/>
              </w:rPr>
              <w:t>银行转账，自校车到位之日起，每季度按照实际运行车辆总数给予25%支付，如有家长投诉收费或者服务不合理不到位，乙方必须及时整改。</w:t>
            </w:r>
          </w:p>
          <w:p>
            <w:pPr>
              <w:pStyle w:val="null3"/>
              <w:ind w:firstLine="482"/>
            </w:pPr>
            <w:r>
              <w:rPr>
                <w:rFonts w:ascii="仿宋_GB2312" w:hAnsi="仿宋_GB2312" w:cs="仿宋_GB2312" w:eastAsia="仿宋_GB2312"/>
                <w:sz w:val="24"/>
                <w:b/>
                <w:color w:val="000000"/>
              </w:rPr>
              <w:t>八、运营周期：</w:t>
            </w:r>
            <w:r>
              <w:rPr>
                <w:rFonts w:ascii="仿宋_GB2312" w:hAnsi="仿宋_GB2312" w:cs="仿宋_GB2312" w:eastAsia="仿宋_GB2312"/>
                <w:sz w:val="24"/>
                <w:color w:val="000000"/>
              </w:rPr>
              <w:t>12个月，2026年03月04日至2027年03月03日。</w:t>
            </w:r>
          </w:p>
          <w:p>
            <w:pPr>
              <w:pStyle w:val="null3"/>
              <w:ind w:firstLine="482"/>
            </w:pPr>
            <w:r>
              <w:rPr>
                <w:rFonts w:ascii="仿宋_GB2312" w:hAnsi="仿宋_GB2312" w:cs="仿宋_GB2312" w:eastAsia="仿宋_GB2312"/>
                <w:sz w:val="24"/>
                <w:b/>
                <w:color w:val="000000"/>
              </w:rPr>
              <w:t>九、服务地点：</w:t>
            </w:r>
            <w:r>
              <w:rPr>
                <w:rFonts w:ascii="仿宋_GB2312" w:hAnsi="仿宋_GB2312" w:cs="仿宋_GB2312" w:eastAsia="仿宋_GB2312"/>
                <w:sz w:val="24"/>
                <w:color w:val="000000"/>
              </w:rPr>
              <w:t>周至县教育局指定地点。</w:t>
            </w:r>
          </w:p>
          <w:p>
            <w:pPr>
              <w:pStyle w:val="null3"/>
              <w:numPr>
                <w:ilvl w:val="0"/>
                <w:numId w:val="1"/>
              </w:numPr>
            </w:pPr>
            <w:r>
              <w:rPr>
                <w:rFonts w:ascii="仿宋_GB2312" w:hAnsi="仿宋_GB2312" w:cs="仿宋_GB2312" w:eastAsia="仿宋_GB2312"/>
                <w:sz w:val="24"/>
                <w:b/>
                <w:color w:val="000000"/>
              </w:rPr>
              <w:t>其他要求：</w:t>
            </w:r>
            <w:r>
              <w:rPr>
                <w:rFonts w:ascii="仿宋_GB2312" w:hAnsi="仿宋_GB2312" w:cs="仿宋_GB2312" w:eastAsia="仿宋_GB2312"/>
                <w:sz w:val="24"/>
                <w:color w:val="000000"/>
              </w:rPr>
              <w:t>未尽事宜参</w:t>
            </w:r>
            <w:r>
              <w:rPr>
                <w:rFonts w:ascii="仿宋_GB2312" w:hAnsi="仿宋_GB2312" w:cs="仿宋_GB2312" w:eastAsia="仿宋_GB2312"/>
                <w:sz w:val="24"/>
                <w:color w:val="000000"/>
              </w:rPr>
              <w:t>照《校车安全管理条例》（国务院令第617号）、《陕西省实施&lt;校车安全管理条例&gt;办法》（陕西省人民政府令第164号）、《西安市校车安全管理办法》（西安市人民政府令第104号）执行。</w:t>
            </w:r>
          </w:p>
          <w:p>
            <w:pPr>
              <w:pStyle w:val="null3"/>
              <w:spacing w:after="120"/>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采购内容和要求（技术参数与性能指标）及合同内容为实质性要求，不得负偏离。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详见技术参数与性能指标及合同条款约定。</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详见技术参数与性能指标及合同条款约定。</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详见技术参数与性能指标及合同条款约定。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12个月，2026年03月04日至2027年03月03日。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周至县教育局指定地点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验收交付标准：①招标文件、投标文件、澄清表（函）；②本合同及附件文本；③国家相应的标准、规范。 验收方法：1、服务期满后，甲方组织相关人员进行考核验收，验收合格后，填写政府采购项目验收单（一式伍份）作为对校车服务的最终认可；2、乙方向甲方提供服务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自校车到位之日起，每季度按照实际运行车辆总数给予25%支付，如有家长投诉收费或者服务不合理不到位，乙方必须及时整改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自校车到位之日起，每季度按照实际运行车辆总数给予25%支付，如有家长投诉收费或者服务不合理不到位，乙方必须及时整改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自校车到位之日起，每季度按照实际运行车辆总数给予25%支付，如有家长投诉收费或者服务不合理不到位，乙方必须及时整改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自校车到位之日起，每季度按照实际运行车辆总数给予25%支付，如有家长投诉收费或者服务不合理不到位，乙方必须及时整改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（二）未按合同要求提供服务或服务质量不能满足本次采购要求，采购人会同监督机构、采购代理机构有权终止合同和对中标人违约行为进行追究，同时按政府采购法的有关规定进行相应的处罚。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提供2025年01月01日至今已缴纳的至少三个月纳税证明或完税证明，依法免税的单位应提供相关证明材料；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提供2025年01月01日至今已缴存的至少三个月的社会保障资金缴存单据或社保机构开具的社会保险参保缴费情况证明，依法不需要缴纳社会保障资金的单位应提供相关证明材料；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复印件，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与营业执照等证明材料一致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运营周期：12个月，2026年03月04日至2027年03月03日。</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周至县教育局指定地点。</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未超出采购预算或最高限价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供应商须为中小企业（残疾人福利性单位、监狱企业视同小型、微型企业）以供应商提供的《中小企业声明函》、监狱企业的证明文件或《残疾人福利性单位声明函》为准</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投标文件是否对招标文件的实质性要求和条件作出响应，或者对招标文件的偏差超出招标文件规定的偏差范围。</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 其他资料12.23.docx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（1）对本项目的理解（2）项目实施方案（3）车辆配备（提供行驶执照、产权证，若为租赁车则还需提供租赁合同）（4）车辆调度、路线安排方案（5）服务质量自检、整改方案 评审标准：方案各部分内容全面详细、阐述条理清晰详尽、符合本项目采购需求得30分；评审内容每缺一项扣6分；评审内容有缺陷（缺陷是指：内容粗略、逻辑混乱、描述过于简单、与项目特点不匹配、凭空编造、逻辑漏洞、出现常识性错误、存在不适用项目实际情况的情形或只有标题没有实质性内容等）的每项扣0.1-5.9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（1）安全管理机构（2）安全保障方案（3）安全服务方案（4）车辆安全检查与隐患治理（5）确保乘客、学生的人身安全及时间准确性措施 评审标准：方案各部分内容全面详细、阐述条理清晰详尽、符合本项目采购需求得10分；评审内容每缺一项扣2分；评审内容有缺陷（缺陷是指：内容粗略、逻辑混乱、描述过于简单、与项目特点不匹配、凭空编造、逻辑漏洞、出现常识性错误、存在不适用项目实际情况的情形或只有标题没有实质性内容等）的每项扣0.1-1.9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应急安全保障方案</w:t>
            </w:r>
          </w:p>
        </w:tc>
        <w:tc>
          <w:tcPr>
            <w:tcW w:type="dxa" w:w="2492"/>
          </w:tcPr>
          <w:p>
            <w:pPr>
              <w:pStyle w:val="null3"/>
            </w:pPr>
            <w:r>
              <w:rPr>
                <w:rFonts w:ascii="仿宋_GB2312" w:hAnsi="仿宋_GB2312" w:cs="仿宋_GB2312" w:eastAsia="仿宋_GB2312"/>
              </w:rPr>
              <w:t>（1）应急管理组织机构（2）发生安全事故后应急保障措施（3）恶劣天气应急保障措施 评审标准：方案各部分内容全面详细、阐述条理清晰详尽、符合本项目采购需求得6分；评审内容每缺一项扣2分；评审内容有缺陷（缺陷是指：内容粗略、逻辑混乱、描述过于简单、与项目特点不匹配、凭空编造、逻辑漏洞、出现常识性错误、存在不适用项目实际情况的情形或只有标题没有实质性内容等）的每项扣0.1-1.9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管理培训方案</w:t>
            </w:r>
          </w:p>
        </w:tc>
        <w:tc>
          <w:tcPr>
            <w:tcW w:type="dxa" w:w="2492"/>
          </w:tcPr>
          <w:p>
            <w:pPr>
              <w:pStyle w:val="null3"/>
            </w:pPr>
            <w:r>
              <w:rPr>
                <w:rFonts w:ascii="仿宋_GB2312" w:hAnsi="仿宋_GB2312" w:cs="仿宋_GB2312" w:eastAsia="仿宋_GB2312"/>
              </w:rPr>
              <w:t>（1）管理制度（2）对驾驶员及公司人员进行开展安全教育，安全培训 评审标准:方案各部分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每项扣0.1-2.9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车辆出厂年限</w:t>
            </w:r>
          </w:p>
        </w:tc>
        <w:tc>
          <w:tcPr>
            <w:tcW w:type="dxa" w:w="2492"/>
          </w:tcPr>
          <w:p>
            <w:pPr>
              <w:pStyle w:val="null3"/>
            </w:pPr>
            <w:r>
              <w:rPr>
                <w:rFonts w:ascii="仿宋_GB2312" w:hAnsi="仿宋_GB2312" w:cs="仿宋_GB2312" w:eastAsia="仿宋_GB2312"/>
              </w:rPr>
              <w:t>所有车辆车龄均不超5年，得5分 ； 部分车辆车龄不超5年，但所有车辆车龄均不超8年， 得3分 ； 所有车辆车龄大于8年的得1分。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车辆保险</w:t>
            </w:r>
          </w:p>
        </w:tc>
        <w:tc>
          <w:tcPr>
            <w:tcW w:type="dxa" w:w="2492"/>
          </w:tcPr>
          <w:p>
            <w:pPr>
              <w:pStyle w:val="null3"/>
            </w:pPr>
            <w:r>
              <w:rPr>
                <w:rFonts w:ascii="仿宋_GB2312" w:hAnsi="仿宋_GB2312" w:cs="仿宋_GB2312" w:eastAsia="仿宋_GB2312"/>
              </w:rPr>
              <w:t>校车管理应当设置安全管理机构，为校车投保交强险、商业保险及所有驾驶人员办理相关保险，并定期进行车辆检测。 评审标准：满足得4分，不满足不得分。（提供证明材料）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1.管理人员 评审内容：为本项目配备的项目负责人从事车辆运输管理3年以上，3年以来无交通违法记录及安全管理人员从事车辆运输管理3年以上。 评审标准：上述资料提供齐全，满足4分，不满足不得分。（提供证明材料） 2.驾驶员 评审内容：取得相应准驾车型驾驶证并具有3年以上驾驶经历，年龄在25周岁以上，不超过60周岁（驾驶19座以上的校车驾驶员持A1驾驶证照，驾驶19座以下（含19座）的校车驾驶员需持b1及以上驾驶证照（提供驾驶人员驾驶证件））；最近连续3个记分周期内没有被记满分记录；无致人死亡或者重伤的交通事故责任记录；无饮酒后驾驶或者醉酒驾驶机动车记录，最近1年内无驾驶客运车辆超员、超速等严重交通违法行为记录；无犯罪记录；身心健康，无传染性疾病，无癫痫、精神病等可能危及行车安全的疾病病史，无酗酒、吸毒行为记录。 评审标准：满足得4分，不满足不得分。提供相关证明材料或承诺。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投诉处理方案</w:t>
            </w:r>
          </w:p>
        </w:tc>
        <w:tc>
          <w:tcPr>
            <w:tcW w:type="dxa" w:w="2492"/>
          </w:tcPr>
          <w:p>
            <w:pPr>
              <w:pStyle w:val="null3"/>
            </w:pPr>
            <w:r>
              <w:rPr>
                <w:rFonts w:ascii="仿宋_GB2312" w:hAnsi="仿宋_GB2312" w:cs="仿宋_GB2312" w:eastAsia="仿宋_GB2312"/>
              </w:rPr>
              <w:t>方案内容全面详细、阐述条理清晰详尽、符合本项目采购需求得3分；评审内容缺项扣3分；评审内容有缺陷（缺陷是指：内容粗略、逻辑混乱、描述过于简单、与项目特点不匹配、凭空编造、逻辑漏洞、出现常识性错误、存在不适用项目实际情况的情形或只有标题没有实质性内容等）的每项扣0.1-2.9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承诺（2）以往从事校车运营管理服务工作期间，未发生过重大的管理责任事件（含造成不良社会影响的事件等）（3）定期提交校车管理运营工作总结（4）组织进行交通安全教育、向学生讲解校车安全乘坐知识和校车安全事故应急处理技能。 评审标准:承诺的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每项扣0.1-1.9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供应商需提供2022年12月01日至今的同类项目业绩（校车运营服务），投标文件中提供合同复印件，每提供一个得2分，满分10分。（以签订的合同时间为准）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1.经初审合格的投标文件，其投标报价为有效投标报价，并对有效投标报价进行政策性扣减，并依据扣减后的价格（评审价格）进行价格评审。 2.满足招标文件实质性要求且最终报价最低的投标人的价格为投标基准价，其价格分为满分10分。 3.投标报价得分=（投标基准价/投标报价）×10的公式计算得分。 注：本项目专门面向中小企业采购，不再给与价格优惠。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详见附件：其他资料12.23.docx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