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版本号：2026-ZYD-ZB-00920260310001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2025年度省级林草有害生物防治项目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2026-ZYD-ZB-009</w:t>
      </w:r>
      <w:r>
        <w:br/>
      </w:r>
      <w:r>
        <w:br/>
      </w:r>
      <w:r>
        <w:br/>
      </w:r>
    </w:p>
    <w:p>
      <w:pPr>
        <w:pStyle w:val="null3"/>
        <w:jc w:val="center"/>
        <w:outlineLvl w:val="2"/>
      </w:pPr>
      <w:r>
        <w:rPr>
          <w:rFonts w:ascii="仿宋_GB2312" w:hAnsi="仿宋_GB2312" w:cs="仿宋_GB2312" w:eastAsia="仿宋_GB2312"/>
          <w:sz w:val="28"/>
          <w:b/>
        </w:rPr>
        <w:t>西安市周至县林业工作站</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西安市周至县林业工作站</w:t>
      </w:r>
      <w:r>
        <w:rPr>
          <w:rFonts w:ascii="仿宋_GB2312" w:hAnsi="仿宋_GB2312" w:cs="仿宋_GB2312" w:eastAsia="仿宋_GB2312"/>
        </w:rPr>
        <w:t>委托，拟对</w:t>
      </w:r>
      <w:r>
        <w:rPr>
          <w:rFonts w:ascii="仿宋_GB2312" w:hAnsi="仿宋_GB2312" w:cs="仿宋_GB2312" w:eastAsia="仿宋_GB2312"/>
        </w:rPr>
        <w:t>2025年度省级林草有害生物防治项目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2026-ZYD-ZB-009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2025年度省级林草有害生物防治项目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一是在林草有害生物防控重点区域架设美国白蛾诱捕器100台，定人定点监控虫情；二是人工巡查林分有无虫情，对病虫危害林分及时采取防治措施面积2.5万亩。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采购包1（2025年度省级林草有害生物防治项目）：属于专门面向中小企业采购。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1、营业执照：投标人须具有独立承担民事责任能力的法人或其他组织，提供营业执照或事业单位法人证书或自然人的身份证明；</w:t>
      </w:r>
    </w:p>
    <w:p>
      <w:pPr>
        <w:pStyle w:val="null3"/>
      </w:pPr>
      <w:r>
        <w:rPr>
          <w:rFonts w:ascii="仿宋_GB2312" w:hAnsi="仿宋_GB2312" w:cs="仿宋_GB2312" w:eastAsia="仿宋_GB2312"/>
        </w:rPr>
        <w:t>2、法人授权委托书：具备合格有效的法定代表人授权书及被授权人身份证（法定代表人参加需提供法定代表人资格证明书和身份证）；</w:t>
      </w:r>
    </w:p>
    <w:p>
      <w:pPr>
        <w:pStyle w:val="null3"/>
      </w:pPr>
      <w:r>
        <w:rPr>
          <w:rFonts w:ascii="仿宋_GB2312" w:hAnsi="仿宋_GB2312" w:cs="仿宋_GB2312" w:eastAsia="仿宋_GB2312"/>
        </w:rPr>
        <w:t>3、财务状况报告：提供2024年或2025年度经审计的财务报告(包括三表一注，成立时间至提交投标响应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4、税收缴纳证明：供应商需提供投标截至日期前6个月内任意一个月的完税凭证或税务机关开具的完税证明（任意税种）；依法免税的应提供相关文件证明；</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6、无违纪声明：供应商应具备良好的商业信誉，提供参加政府采购活动近三年内在经营活动中没有重大违法记录的书面声明；</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8、企业资质：供应商应提供《陕西省林业有害生物防治资质证书》资质等级丙级及以上资质；</w:t>
      </w:r>
    </w:p>
    <w:p>
      <w:pPr>
        <w:pStyle w:val="null3"/>
      </w:pPr>
      <w:r>
        <w:rPr>
          <w:rFonts w:ascii="仿宋_GB2312" w:hAnsi="仿宋_GB2312" w:cs="仿宋_GB2312" w:eastAsia="仿宋_GB2312"/>
        </w:rPr>
        <w:t>9、本项目不接受联合体磋商：本项目不接受联合体磋商。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西安市周至县林业工作站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周至县农商街中段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13991273571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陕西省西安市新城区西安市新城区东元西路东岸阳光6号楼2711号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18165392706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代理服务费收费标准：按国家发展和改革委员会文件，发改价格[2011]534号的收费标准收取；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西安市周至县林业工作站</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西安市周至县林业工作站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西安市周至县林业工作站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达到国家现行法律法规及行业要求合格标准。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联系人：李工/何工</w:t>
      </w:r>
    </w:p>
    <w:p>
      <w:pPr>
        <w:pStyle w:val="null3"/>
      </w:pPr>
      <w:r>
        <w:rPr>
          <w:rFonts w:ascii="仿宋_GB2312" w:hAnsi="仿宋_GB2312" w:cs="仿宋_GB2312" w:eastAsia="仿宋_GB2312"/>
        </w:rPr>
        <w:t>联系电话：029-85160588</w:t>
      </w:r>
    </w:p>
    <w:p>
      <w:pPr>
        <w:pStyle w:val="null3"/>
      </w:pPr>
      <w:r>
        <w:rPr>
          <w:rFonts w:ascii="仿宋_GB2312" w:hAnsi="仿宋_GB2312" w:cs="仿宋_GB2312" w:eastAsia="仿宋_GB2312"/>
        </w:rPr>
        <w:t>地址：周至县沙河桥公园一号</w:t>
      </w:r>
    </w:p>
    <w:p>
      <w:pPr>
        <w:pStyle w:val="null3"/>
      </w:pPr>
      <w:r>
        <w:rPr>
          <w:rFonts w:ascii="仿宋_GB2312" w:hAnsi="仿宋_GB2312" w:cs="仿宋_GB2312" w:eastAsia="仿宋_GB2312"/>
        </w:rPr>
        <w:t>邮编：710400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一是在林草有害生物防控重点区域架设美国白蛾诱捕器100台，定人定点监控虫情；二是人工巡查林分有无虫情，对病虫危害林分及时采取防治措施面积2.5万亩。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472,000.00</w:t>
      </w:r>
    </w:p>
    <w:p>
      <w:pPr>
        <w:pStyle w:val="null3"/>
      </w:pPr>
      <w:r>
        <w:rPr>
          <w:rFonts w:ascii="仿宋_GB2312" w:hAnsi="仿宋_GB2312" w:cs="仿宋_GB2312" w:eastAsia="仿宋_GB2312"/>
        </w:rPr>
        <w:t>采购包最高限价（元）: 472,000.00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2025年度省级林草有害生物防治项目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标的名称：2025年度省级林草有害生物防治项目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66"/>
              <w:jc w:val="both"/>
            </w:pPr>
            <w:r>
              <w:rPr>
                <w:rFonts w:ascii="仿宋_GB2312" w:hAnsi="仿宋_GB2312" w:cs="仿宋_GB2312" w:eastAsia="仿宋_GB2312"/>
                <w:sz w:val="21"/>
                <w:b/>
              </w:rPr>
              <w:t>一、项目名称</w:t>
            </w:r>
          </w:p>
          <w:p>
            <w:pPr>
              <w:pStyle w:val="null3"/>
              <w:ind w:firstLine="371"/>
              <w:jc w:val="both"/>
            </w:pPr>
            <w:r>
              <w:rPr>
                <w:rFonts w:ascii="仿宋_GB2312" w:hAnsi="仿宋_GB2312" w:cs="仿宋_GB2312" w:eastAsia="仿宋_GB2312"/>
                <w:sz w:val="21"/>
              </w:rPr>
              <w:t>2025年省级林业草原改革发展资金林草有害生物防治项目</w:t>
            </w:r>
          </w:p>
          <w:p>
            <w:pPr>
              <w:pStyle w:val="null3"/>
              <w:ind w:firstLine="373"/>
              <w:jc w:val="both"/>
            </w:pPr>
            <w:r>
              <w:rPr>
                <w:rFonts w:ascii="仿宋_GB2312" w:hAnsi="仿宋_GB2312" w:cs="仿宋_GB2312" w:eastAsia="仿宋_GB2312"/>
                <w:sz w:val="21"/>
                <w:b/>
              </w:rPr>
              <w:t>二</w:t>
            </w:r>
            <w:r>
              <w:rPr>
                <w:rFonts w:ascii="仿宋_GB2312" w:hAnsi="仿宋_GB2312" w:cs="仿宋_GB2312" w:eastAsia="仿宋_GB2312"/>
                <w:sz w:val="21"/>
                <w:b/>
              </w:rPr>
              <w:t>、项目实施单位</w:t>
            </w:r>
            <w:r>
              <w:rPr>
                <w:rFonts w:ascii="仿宋_GB2312" w:hAnsi="仿宋_GB2312" w:cs="仿宋_GB2312" w:eastAsia="仿宋_GB2312"/>
                <w:sz w:val="21"/>
                <w:b/>
              </w:rPr>
              <w:t>：</w:t>
            </w:r>
            <w:r>
              <w:rPr>
                <w:rFonts w:ascii="仿宋_GB2312" w:hAnsi="仿宋_GB2312" w:cs="仿宋_GB2312" w:eastAsia="仿宋_GB2312"/>
                <w:sz w:val="21"/>
              </w:rPr>
              <w:t>周至县林业工作站</w:t>
            </w:r>
          </w:p>
          <w:p>
            <w:pPr>
              <w:pStyle w:val="null3"/>
              <w:ind w:firstLine="373"/>
              <w:jc w:val="both"/>
            </w:pPr>
            <w:r>
              <w:rPr>
                <w:rFonts w:ascii="仿宋_GB2312" w:hAnsi="仿宋_GB2312" w:cs="仿宋_GB2312" w:eastAsia="仿宋_GB2312"/>
                <w:sz w:val="21"/>
                <w:b/>
              </w:rPr>
              <w:t>三</w:t>
            </w:r>
            <w:r>
              <w:rPr>
                <w:rFonts w:ascii="仿宋_GB2312" w:hAnsi="仿宋_GB2312" w:cs="仿宋_GB2312" w:eastAsia="仿宋_GB2312"/>
                <w:sz w:val="21"/>
                <w:b/>
              </w:rPr>
              <w:t>、项目实施内容</w:t>
            </w:r>
          </w:p>
          <w:p>
            <w:pPr>
              <w:pStyle w:val="null3"/>
              <w:ind w:firstLine="476"/>
              <w:jc w:val="both"/>
            </w:pPr>
            <w:r>
              <w:rPr>
                <w:rFonts w:ascii="仿宋_GB2312" w:hAnsi="仿宋_GB2312" w:cs="仿宋_GB2312" w:eastAsia="仿宋_GB2312"/>
                <w:sz w:val="21"/>
              </w:rPr>
              <w:t>本项目建设目标主要有两项：一是在林草有害生物防控重点区域架设美国白蛾诱捕器</w:t>
            </w:r>
            <w:r>
              <w:rPr>
                <w:rFonts w:ascii="仿宋_GB2312" w:hAnsi="仿宋_GB2312" w:cs="仿宋_GB2312" w:eastAsia="仿宋_GB2312"/>
                <w:sz w:val="21"/>
              </w:rPr>
              <w:t>100台，定人定点监控虫情；二是人工巡查林分有无虫情，</w:t>
            </w:r>
            <w:r>
              <w:rPr>
                <w:rFonts w:ascii="仿宋_GB2312" w:hAnsi="仿宋_GB2312" w:cs="仿宋_GB2312" w:eastAsia="仿宋_GB2312"/>
                <w:sz w:val="21"/>
              </w:rPr>
              <w:t>对病虫危害林分及时采取防治措施面积</w:t>
            </w:r>
            <w:r>
              <w:rPr>
                <w:rFonts w:ascii="仿宋_GB2312" w:hAnsi="仿宋_GB2312" w:cs="仿宋_GB2312" w:eastAsia="仿宋_GB2312"/>
                <w:sz w:val="21"/>
              </w:rPr>
              <w:t>2.5万亩。</w:t>
            </w:r>
          </w:p>
          <w:p>
            <w:pPr>
              <w:pStyle w:val="null3"/>
              <w:ind w:firstLine="373"/>
              <w:jc w:val="both"/>
            </w:pPr>
            <w:r>
              <w:rPr>
                <w:rFonts w:ascii="仿宋_GB2312" w:hAnsi="仿宋_GB2312" w:cs="仿宋_GB2312" w:eastAsia="仿宋_GB2312"/>
                <w:sz w:val="21"/>
                <w:b/>
              </w:rPr>
              <w:t>四</w:t>
            </w:r>
            <w:r>
              <w:rPr>
                <w:rFonts w:ascii="仿宋_GB2312" w:hAnsi="仿宋_GB2312" w:cs="仿宋_GB2312" w:eastAsia="仿宋_GB2312"/>
                <w:sz w:val="21"/>
                <w:b/>
              </w:rPr>
              <w:t>、主要技术措施</w:t>
            </w:r>
          </w:p>
          <w:p>
            <w:pPr>
              <w:pStyle w:val="null3"/>
              <w:ind w:firstLine="371"/>
              <w:jc w:val="both"/>
            </w:pPr>
            <w:r>
              <w:rPr>
                <w:rFonts w:ascii="仿宋_GB2312" w:hAnsi="仿宋_GB2312" w:cs="仿宋_GB2312" w:eastAsia="仿宋_GB2312"/>
                <w:sz w:val="21"/>
              </w:rPr>
              <w:t>本项目虫情监测重点预防区包括近年美国白蛾防控重点区域的尚村、九峰、集贤、楼观等镇村；外来苗木进入周至的哑柏、二曲镇及国、省道沿线苗圃；去年发生突发虫情的沿山镇村；由重点预防区域向外延伸的周边苗圃、林带、村庄等为一般预防区。</w:t>
            </w:r>
          </w:p>
          <w:p>
            <w:pPr>
              <w:pStyle w:val="null3"/>
              <w:ind w:firstLine="371"/>
              <w:jc w:val="both"/>
            </w:pPr>
            <w:r>
              <w:rPr>
                <w:rFonts w:ascii="仿宋_GB2312" w:hAnsi="仿宋_GB2312" w:cs="仿宋_GB2312" w:eastAsia="仿宋_GB2312"/>
                <w:sz w:val="21"/>
              </w:rPr>
              <w:t>1、架设美国白蛾诱捕器开展虫情监测：</w:t>
            </w:r>
          </w:p>
          <w:p>
            <w:pPr>
              <w:pStyle w:val="null3"/>
              <w:ind w:firstLine="371"/>
              <w:jc w:val="both"/>
            </w:pPr>
            <w:r>
              <w:rPr>
                <w:rFonts w:ascii="仿宋_GB2312" w:hAnsi="仿宋_GB2312" w:cs="仿宋_GB2312" w:eastAsia="仿宋_GB2312"/>
                <w:sz w:val="21"/>
              </w:rPr>
              <w:t>美国白蛾疫情监测范围为尚村、九峰、集贤、楼观、二曲、哑柏、马召等美国白蛾喜食树种分布和苗木流通区域，结合金叶复叶槭、桑、榆、樱花、红叶李、核桃等树种分布情况开展虫情监测。</w:t>
            </w:r>
            <w:r>
              <w:rPr>
                <w:rFonts w:ascii="仿宋_GB2312" w:hAnsi="仿宋_GB2312" w:cs="仿宋_GB2312" w:eastAsia="仿宋_GB2312"/>
                <w:sz w:val="21"/>
              </w:rPr>
              <w:t>在林草有害生物监测主要风险区域合理</w:t>
            </w:r>
            <w:r>
              <w:rPr>
                <w:rFonts w:ascii="仿宋_GB2312" w:hAnsi="仿宋_GB2312" w:cs="仿宋_GB2312" w:eastAsia="仿宋_GB2312"/>
                <w:sz w:val="21"/>
              </w:rPr>
              <w:t>架设美国白蛾诱捕器</w:t>
            </w:r>
            <w:r>
              <w:rPr>
                <w:rFonts w:ascii="仿宋_GB2312" w:hAnsi="仿宋_GB2312" w:cs="仿宋_GB2312" w:eastAsia="仿宋_GB2312"/>
                <w:sz w:val="21"/>
              </w:rPr>
              <w:t>100台，</w:t>
            </w:r>
            <w:r>
              <w:rPr>
                <w:rFonts w:ascii="仿宋_GB2312" w:hAnsi="仿宋_GB2312" w:cs="仿宋_GB2312" w:eastAsia="仿宋_GB2312"/>
                <w:sz w:val="21"/>
              </w:rPr>
              <w:t>定人定点观测虫情</w:t>
            </w:r>
            <w:r>
              <w:rPr>
                <w:rFonts w:ascii="仿宋_GB2312" w:hAnsi="仿宋_GB2312" w:cs="仿宋_GB2312" w:eastAsia="仿宋_GB2312"/>
                <w:sz w:val="21"/>
              </w:rPr>
              <w:t>，</w:t>
            </w:r>
            <w:r>
              <w:rPr>
                <w:rFonts w:ascii="仿宋_GB2312" w:hAnsi="仿宋_GB2312" w:cs="仿宋_GB2312" w:eastAsia="仿宋_GB2312"/>
                <w:sz w:val="21"/>
              </w:rPr>
              <w:t>为预测虫情提供依据</w:t>
            </w:r>
            <w:r>
              <w:rPr>
                <w:rFonts w:ascii="仿宋_GB2312" w:hAnsi="仿宋_GB2312" w:cs="仿宋_GB2312" w:eastAsia="仿宋_GB2312"/>
                <w:sz w:val="21"/>
              </w:rPr>
              <w:t>。</w:t>
            </w:r>
            <w:r>
              <w:rPr>
                <w:rFonts w:ascii="仿宋_GB2312" w:hAnsi="仿宋_GB2312" w:cs="仿宋_GB2312" w:eastAsia="仿宋_GB2312"/>
                <w:sz w:val="21"/>
              </w:rPr>
              <w:t>需要进一步鉴定确认的，依照采样技术流程采集样品报送县局检验甄别，按照有关防控规程做好应急处置，以此为中心向周围林区进行虫情排查。</w:t>
            </w:r>
          </w:p>
          <w:p>
            <w:pPr>
              <w:pStyle w:val="null3"/>
              <w:ind w:firstLine="371"/>
              <w:jc w:val="both"/>
            </w:pPr>
            <w:r>
              <w:rPr>
                <w:rFonts w:ascii="仿宋_GB2312" w:hAnsi="仿宋_GB2312" w:cs="仿宋_GB2312" w:eastAsia="仿宋_GB2312"/>
                <w:sz w:val="21"/>
              </w:rPr>
              <w:t>2、开展人工排查：</w:t>
            </w:r>
          </w:p>
          <w:p>
            <w:pPr>
              <w:pStyle w:val="null3"/>
              <w:ind w:firstLine="371"/>
              <w:jc w:val="both"/>
            </w:pPr>
            <w:r>
              <w:rPr>
                <w:rFonts w:ascii="仿宋_GB2312" w:hAnsi="仿宋_GB2312" w:cs="仿宋_GB2312" w:eastAsia="仿宋_GB2312"/>
                <w:sz w:val="21"/>
              </w:rPr>
              <w:t>以</w:t>
            </w:r>
            <w:r>
              <w:rPr>
                <w:rFonts w:ascii="仿宋_GB2312" w:hAnsi="仿宋_GB2312" w:cs="仿宋_GB2312" w:eastAsia="仿宋_GB2312"/>
                <w:sz w:val="21"/>
              </w:rPr>
              <w:t>林草有害生物监测</w:t>
            </w:r>
            <w:r>
              <w:rPr>
                <w:rFonts w:ascii="仿宋_GB2312" w:hAnsi="仿宋_GB2312" w:cs="仿宋_GB2312" w:eastAsia="仿宋_GB2312"/>
                <w:sz w:val="21"/>
              </w:rPr>
              <w:t>风险区和风险点为中心，对周边镇村林分、苗圃进行踏查排除，重点防控区域范围内的行道树、片林、房前屋后树木、苗圃要每隔</w:t>
            </w:r>
            <w:r>
              <w:rPr>
                <w:rFonts w:ascii="仿宋_GB2312" w:hAnsi="仿宋_GB2312" w:cs="仿宋_GB2312" w:eastAsia="仿宋_GB2312"/>
                <w:sz w:val="21"/>
              </w:rPr>
              <w:t>5-10天全面排查，一般防控区域10-15天排查一次。普查主要以踏查为主，观察树上有无幼虫危害时形成的网幕，叶片有无啃食过的网膜状痕迹，查看树冠枝条端部或近端部叶片背面是否有卵块，树干、墙壁、电杆、草本植物及附近物体上是否有成虫。发现虫情及时上报处置。</w:t>
            </w:r>
          </w:p>
          <w:p>
            <w:pPr>
              <w:pStyle w:val="null3"/>
              <w:ind w:firstLine="420"/>
              <w:jc w:val="both"/>
            </w:pPr>
            <w:r>
              <w:rPr>
                <w:rFonts w:ascii="仿宋_GB2312" w:hAnsi="仿宋_GB2312" w:cs="仿宋_GB2312" w:eastAsia="仿宋_GB2312"/>
                <w:sz w:val="21"/>
              </w:rPr>
              <w:t>3、开展突发虫情预防性防治：</w:t>
            </w:r>
          </w:p>
          <w:p>
            <w:pPr>
              <w:pStyle w:val="null3"/>
              <w:ind w:firstLine="420"/>
              <w:jc w:val="both"/>
            </w:pPr>
            <w:r>
              <w:rPr>
                <w:rFonts w:ascii="仿宋_GB2312" w:hAnsi="仿宋_GB2312" w:cs="仿宋_GB2312" w:eastAsia="仿宋_GB2312"/>
                <w:sz w:val="21"/>
                <w:shd w:fill="FFFFFF" w:val="clear"/>
              </w:rPr>
              <w:t>结合林草有害生物监测结果，积极开展寄主林分虫情针对性预防性防治，主要防治区域为可能发生美国白蛾疫情的风险区域及周边林分，对我县农林业生产造成较大生物灾害损失的竹节虫、黄刺蛾、金龟子、国槐尺蠖等虫情分布区域。根据林分实际开展高压喷雾防治、无人机防治等形式，累计防治面积为</w:t>
            </w:r>
            <w:r>
              <w:rPr>
                <w:rFonts w:ascii="仿宋_GB2312" w:hAnsi="仿宋_GB2312" w:cs="仿宋_GB2312" w:eastAsia="仿宋_GB2312"/>
                <w:sz w:val="21"/>
                <w:shd w:fill="FFFFFF" w:val="clear"/>
              </w:rPr>
              <w:t>2.5万亩。</w:t>
            </w:r>
          </w:p>
          <w:p>
            <w:pPr>
              <w:pStyle w:val="null3"/>
              <w:ind w:firstLine="371"/>
              <w:jc w:val="both"/>
            </w:pPr>
            <w:r>
              <w:rPr>
                <w:rFonts w:ascii="仿宋_GB2312" w:hAnsi="仿宋_GB2312" w:cs="仿宋_GB2312" w:eastAsia="仿宋_GB2312"/>
                <w:sz w:val="21"/>
              </w:rPr>
              <w:t>4、合理使用无公害药剂，多种方式互补防治：</w:t>
            </w:r>
          </w:p>
          <w:p>
            <w:pPr>
              <w:pStyle w:val="null3"/>
              <w:ind w:firstLine="371"/>
              <w:jc w:val="both"/>
            </w:pPr>
            <w:r>
              <w:rPr>
                <w:rFonts w:ascii="仿宋_GB2312" w:hAnsi="仿宋_GB2312" w:cs="仿宋_GB2312" w:eastAsia="仿宋_GB2312"/>
                <w:sz w:val="21"/>
              </w:rPr>
              <w:t>药剂使用综合考虑林分密度、天气因素、人为活动范围等。药剂选择要十分注意对生态环境的影响和安全性，主要选择仿生、生物药剂和植物性杀虫剂，禁止使用国家限制使用的高毒、高残留农药，落实好安全用药规定和防治人员安全措施，做好喷药区域人员、禽畜的防范工作。</w:t>
            </w:r>
          </w:p>
          <w:p>
            <w:pPr>
              <w:pStyle w:val="null3"/>
              <w:ind w:firstLine="373"/>
              <w:jc w:val="both"/>
            </w:pPr>
            <w:r>
              <w:rPr>
                <w:rFonts w:ascii="仿宋_GB2312" w:hAnsi="仿宋_GB2312" w:cs="仿宋_GB2312" w:eastAsia="仿宋_GB2312"/>
                <w:sz w:val="21"/>
                <w:b/>
              </w:rPr>
              <w:t>五、项目实施要求</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、诱捕器监测：诱捕器购置安装要在美国白蛾初代出土危害期发生前完成，诱捕器安装间隔</w:t>
            </w:r>
            <w:r>
              <w:rPr>
                <w:rFonts w:ascii="仿宋_GB2312" w:hAnsi="仿宋_GB2312" w:cs="仿宋_GB2312" w:eastAsia="仿宋_GB2312"/>
                <w:sz w:val="21"/>
              </w:rPr>
              <w:t>300米-500米，悬挂高度距离地面2.5米，注明诱捕器编号和有毒有害字样，如因客观因素损坏丢失的及时补充，并找回原物集中处置。</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、专业队普查：时间为</w:t>
            </w:r>
            <w:r>
              <w:rPr>
                <w:rFonts w:ascii="仿宋_GB2312" w:hAnsi="仿宋_GB2312" w:cs="仿宋_GB2312" w:eastAsia="仿宋_GB2312"/>
                <w:sz w:val="21"/>
              </w:rPr>
              <w:t>美国白蛾</w:t>
            </w:r>
            <w:r>
              <w:rPr>
                <w:rFonts w:ascii="仿宋_GB2312" w:hAnsi="仿宋_GB2312" w:cs="仿宋_GB2312" w:eastAsia="仿宋_GB2312"/>
                <w:sz w:val="21"/>
              </w:rPr>
              <w:t>初代幼虫出土上树危害时开始进行普查监测，间隔期</w:t>
            </w:r>
            <w:r>
              <w:rPr>
                <w:rFonts w:ascii="仿宋_GB2312" w:hAnsi="仿宋_GB2312" w:cs="仿宋_GB2312" w:eastAsia="仿宋_GB2312"/>
                <w:sz w:val="21"/>
              </w:rPr>
              <w:t>5</w:t>
            </w:r>
            <w:r>
              <w:rPr>
                <w:rFonts w:ascii="仿宋_GB2312" w:hAnsi="仿宋_GB2312" w:cs="仿宋_GB2312" w:eastAsia="仿宋_GB2312"/>
                <w:sz w:val="21"/>
              </w:rPr>
              <w:t>-10天,5月初全面踏查一次，5月底对疑似虫情做好统计汇总，为适期防治和采取合理防治措施提供依据。</w:t>
            </w:r>
          </w:p>
          <w:p>
            <w:pPr>
              <w:pStyle w:val="null3"/>
              <w:ind w:firstLine="464"/>
              <w:jc w:val="both"/>
            </w:pPr>
            <w:r>
              <w:rPr>
                <w:rFonts w:ascii="仿宋_GB2312" w:hAnsi="仿宋_GB2312" w:cs="仿宋_GB2312" w:eastAsia="仿宋_GB2312"/>
                <w:sz w:val="21"/>
              </w:rPr>
              <w:t>3</w:t>
            </w:r>
            <w:r>
              <w:rPr>
                <w:rFonts w:ascii="仿宋_GB2312" w:hAnsi="仿宋_GB2312" w:cs="仿宋_GB2312" w:eastAsia="仿宋_GB2312"/>
                <w:sz w:val="21"/>
              </w:rPr>
              <w:t>、用药安全：在可能发生美国白蛾第</w:t>
            </w:r>
            <w:r>
              <w:rPr>
                <w:rFonts w:ascii="仿宋_GB2312" w:hAnsi="仿宋_GB2312" w:cs="仿宋_GB2312" w:eastAsia="仿宋_GB2312"/>
                <w:sz w:val="21"/>
              </w:rPr>
              <w:t>1代幼虫危害盛期完成食叶害虫药剂适期喷防，合理选择喷雾用药，降低药剂残留，注意环境保护，及时对诱捕器监测和药剂喷防情况进行全面检查，确保防控效果。</w:t>
            </w:r>
          </w:p>
          <w:p>
            <w:pPr>
              <w:pStyle w:val="null3"/>
              <w:ind w:firstLine="373"/>
              <w:jc w:val="both"/>
            </w:pPr>
            <w:r>
              <w:rPr>
                <w:rFonts w:ascii="仿宋_GB2312" w:hAnsi="仿宋_GB2312" w:cs="仿宋_GB2312" w:eastAsia="仿宋_GB2312"/>
                <w:sz w:val="21"/>
                <w:b/>
              </w:rPr>
              <w:t>六、保障措施</w:t>
            </w:r>
          </w:p>
          <w:p>
            <w:pPr>
              <w:pStyle w:val="null3"/>
              <w:ind w:firstLine="464"/>
              <w:jc w:val="both"/>
            </w:pPr>
            <w:r>
              <w:rPr>
                <w:rFonts w:ascii="仿宋_GB2312" w:hAnsi="仿宋_GB2312" w:cs="仿宋_GB2312" w:eastAsia="仿宋_GB2312"/>
                <w:sz w:val="21"/>
              </w:rPr>
              <w:t>1</w:t>
            </w:r>
            <w:r>
              <w:rPr>
                <w:rFonts w:ascii="仿宋_GB2312" w:hAnsi="仿宋_GB2312" w:cs="仿宋_GB2312" w:eastAsia="仿宋_GB2312"/>
                <w:sz w:val="21"/>
              </w:rPr>
              <w:t>、加强项目监管，成立项目建设领导小组，负责做好项目实施目标完成情况监督管理、实施过程管理和防控效果管理，做好项目实施建设环节资料收集、整理和上报，随时接受上级主管部门的指导、检查、监督。</w:t>
            </w:r>
          </w:p>
          <w:p>
            <w:pPr>
              <w:pStyle w:val="null3"/>
              <w:ind w:firstLine="464"/>
              <w:jc w:val="both"/>
            </w:pPr>
            <w:r>
              <w:rPr>
                <w:rFonts w:ascii="仿宋_GB2312" w:hAnsi="仿宋_GB2312" w:cs="仿宋_GB2312" w:eastAsia="仿宋_GB2312"/>
                <w:sz w:val="21"/>
              </w:rPr>
              <w:t>2</w:t>
            </w:r>
            <w:r>
              <w:rPr>
                <w:rFonts w:ascii="仿宋_GB2312" w:hAnsi="仿宋_GB2312" w:cs="仿宋_GB2312" w:eastAsia="仿宋_GB2312"/>
                <w:sz w:val="21"/>
              </w:rPr>
              <w:t>、项目建设采取竞标形式，由有资质的防治公司采取技术承包，全面负责林草有害生物日常监测、普查和预防性防治日常工作，做好普查人员技术培训，明确虫情监测普查具体要求和防治目标，制定普查防治技术方案，力求普查不漏死角，第一时间发现虫情，及时得到处理，确保虫情防控工作有序开展。</w:t>
            </w:r>
          </w:p>
          <w:p>
            <w:pPr>
              <w:pStyle w:val="null3"/>
              <w:ind w:firstLine="464"/>
              <w:jc w:val="both"/>
            </w:pPr>
            <w:r>
              <w:rPr>
                <w:rFonts w:ascii="仿宋_GB2312" w:hAnsi="仿宋_GB2312" w:cs="仿宋_GB2312" w:eastAsia="仿宋_GB2312"/>
                <w:sz w:val="21"/>
              </w:rPr>
              <w:t>3</w:t>
            </w:r>
            <w:r>
              <w:rPr>
                <w:rFonts w:ascii="仿宋_GB2312" w:hAnsi="仿宋_GB2312" w:cs="仿宋_GB2312" w:eastAsia="仿宋_GB2312"/>
                <w:sz w:val="21"/>
              </w:rPr>
              <w:t>、加强项目资金管理，坚持专款专用，确保发挥项目资金效益。</w:t>
            </w:r>
          </w:p>
          <w:p>
            <w:pPr>
              <w:pStyle w:val="null3"/>
              <w:ind w:firstLine="464"/>
              <w:jc w:val="both"/>
            </w:pPr>
            <w:r>
              <w:rPr>
                <w:rFonts w:ascii="仿宋_GB2312" w:hAnsi="仿宋_GB2312" w:cs="仿宋_GB2312" w:eastAsia="仿宋_GB2312"/>
                <w:sz w:val="21"/>
              </w:rPr>
              <w:t>4</w:t>
            </w:r>
            <w:r>
              <w:rPr>
                <w:rFonts w:ascii="仿宋_GB2312" w:hAnsi="仿宋_GB2312" w:cs="仿宋_GB2312" w:eastAsia="仿宋_GB2312"/>
                <w:sz w:val="21"/>
              </w:rPr>
              <w:t>、建立普查防控工作档案，完善虫情汇总和建档，做好图片、音像、文字等项目实施资料收集，力求全面、真实，不随意向外界透露项目情况，为项目建设领导小组掌控项目实施情况提供依据。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配备满足本项目各专业要求，根据人员及设备安排的科学性、合理性安排。</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配备满足本项目各专业要求，根据人员及设备安排的科学性、合理性安排。</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90日历天（具体以合同签订为准）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达到国家现行法律法规及行业要求合格标准。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项目实施结束后，乙方报请甲方验收，并经主管部门验收合格后，在甲方处办理百分之九十五（95%）项目款的支付手续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剩余合同总金额百分之五（5%）作为质保金，自验收结束之日起6个月内，在无索赔争议的情况下，在甲方处办理百分之五（5%）项目款的支付手续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甲乙双方所有争议应先采取友好协商的解决方式。协商未达成一致意见的，甲乙双方均可向甲方所在地有管辖权的人民法院提起诉讼。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包括三表一注，成立时间至提交投标响应文件截止时间不足一年的可提供成立后任意时段的资产负债表)，或其开标前三个月内基本存款账户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投标人认为需要提供的其它资料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响应函 投标人认为需要提供的其它资料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投标人须具有独立承担民事责任能力的法人或其他组织，提供营业执照或事业单位法人证书或自然人的身份证明；</w:t>
            </w:r>
          </w:p>
        </w:tc>
        <w:tc>
          <w:tcPr>
            <w:tcW w:type="dxa" w:w="1661"/>
          </w:tcPr>
          <w:p>
            <w:pPr>
              <w:pStyle w:val="null3"/>
            </w:pPr>
            <w:r>
              <w:rPr>
                <w:rFonts w:ascii="仿宋_GB2312" w:hAnsi="仿宋_GB2312" w:cs="仿宋_GB2312" w:eastAsia="仿宋_GB2312"/>
              </w:rPr>
              <w:t>中小企业声明函 供应商应提供的资格证明文件材料 响应函 投标人认为需要提供的其它资料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具备合格有效的法定代表人授权书及被授权人身份证（法定代表人参加需提供法定代表人资格证明书和身份证）；</w:t>
            </w:r>
          </w:p>
        </w:tc>
        <w:tc>
          <w:tcPr>
            <w:tcW w:type="dxa" w:w="1661"/>
          </w:tcPr>
          <w:p>
            <w:pPr>
              <w:pStyle w:val="null3"/>
            </w:pPr>
            <w:r>
              <w:rPr>
                <w:rFonts w:ascii="仿宋_GB2312" w:hAnsi="仿宋_GB2312" w:cs="仿宋_GB2312" w:eastAsia="仿宋_GB2312"/>
              </w:rPr>
              <w:t>法定代表人授权委托书 供应商应提供的资格证明文件材料 响应函 投标人认为需要提供的其它资料 法定代表人资格证明书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三表一注，成立时间至提交投标响应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供应商应提供的资格证明文件材料 响应函 投标人认为需要提供的其它资料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供应商需提供投标截至日期前6个月内任意一个月的完税凭证或税务机关开具的完税证明（任意税种）；依法免税的应提供相关文件证明；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供应商应提供的资格证明文件材料 响应函 投标人认为需要提供的其它资料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供应商应提供的资格证明文件材料 响应函 投标人认为需要提供的其它资料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无违纪声明</w:t>
            </w:r>
          </w:p>
        </w:tc>
        <w:tc>
          <w:tcPr>
            <w:tcW w:type="dxa" w:w="3322"/>
          </w:tcPr>
          <w:p>
            <w:pPr>
              <w:pStyle w:val="null3"/>
            </w:pPr>
            <w:r>
              <w:rPr>
                <w:rFonts w:ascii="仿宋_GB2312" w:hAnsi="仿宋_GB2312" w:cs="仿宋_GB2312" w:eastAsia="仿宋_GB2312"/>
              </w:rPr>
              <w:t>供应商应具备良好的商业信誉，提供参加政府采购活动近三年内在经营活动中没有重大违法记录的书面声明；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供应商应提供的资格证明文件材料 响应函 投标人认为需要提供的其它资料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供应商应提供的资格证明文件材料 响应函 投标人认为需要提供的其它资料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供应商应提供《陕西省林业有害生物防治资质证书》资质等级丙级及以上资质；</w:t>
            </w:r>
          </w:p>
        </w:tc>
        <w:tc>
          <w:tcPr>
            <w:tcW w:type="dxa" w:w="1661"/>
          </w:tcPr>
          <w:p>
            <w:pPr>
              <w:pStyle w:val="null3"/>
            </w:pPr>
            <w:r>
              <w:rPr>
                <w:rFonts w:ascii="仿宋_GB2312" w:hAnsi="仿宋_GB2312" w:cs="仿宋_GB2312" w:eastAsia="仿宋_GB2312"/>
              </w:rPr>
              <w:t>供应商应提供的资格证明文件材料 响应函 投标人认为需要提供的其它资料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供应商应提供的资格证明文件材料 响应函 投标人认为需要提供的其它资料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投标人参与采购活动的承诺函 报价表 响应函 投标人认为需要提供的其它资料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（2）磋商报 价一览表填写符合要求； （3）计量单位、报价 货币均符合磋商文件要求； （4）未超过采购预 算或磋商文件规定的最高限价。</w:t>
            </w:r>
          </w:p>
        </w:tc>
        <w:tc>
          <w:tcPr>
            <w:tcW w:type="dxa" w:w="1661"/>
          </w:tcPr>
          <w:p>
            <w:pPr>
              <w:pStyle w:val="null3"/>
            </w:pPr>
            <w:r>
              <w:rPr>
                <w:rFonts w:ascii="仿宋_GB2312" w:hAnsi="仿宋_GB2312" w:cs="仿宋_GB2312" w:eastAsia="仿宋_GB2312"/>
              </w:rPr>
              <w:t>投标人参与采购活动的承诺函 标的清单 报价表 响应函 投标人认为需要提供的其它资料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投标人参与采购活动的承诺函 标的清单 报价表 投标人认为需要提供的其它资料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法定代表人授权委托书 服务内容及服务邀请应答表 中小企业声明函 项目实施总体方案. 商务应答表 报价表 投标人认为需要提供的其它资料 法定代表人资格证明书 业绩一览表 响应文件封面 设备一览表 项目团队人员 残疾人福利性单位声明函 投标人参与采购活动的承诺函 标的清单 供应商应提供的资格证明文件材料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响应文件内容是否齐全，格式是否符合招标文件规定的格式要求；</w:t>
            </w:r>
          </w:p>
        </w:tc>
        <w:tc>
          <w:tcPr>
            <w:tcW w:type="dxa" w:w="1661"/>
          </w:tcPr>
          <w:p>
            <w:pPr>
              <w:pStyle w:val="null3"/>
            </w:pPr>
            <w:r>
              <w:rPr>
                <w:rFonts w:ascii="仿宋_GB2312" w:hAnsi="仿宋_GB2312" w:cs="仿宋_GB2312" w:eastAsia="仿宋_GB2312"/>
              </w:rPr>
              <w:t>法定代表人授权委托书 服务内容及服务邀请应答表 中小企业声明函 项目实施总体方案. 商务应答表 报价表 投标人认为需要提供的其它资料 法定代表人资格证明书 业绩一览表 响应文件封面 设备一览表 项目团队人员 残疾人福利性单位声明函 投标人参与采购活动的承诺函 标的清单 供应商应提供的资格证明文件材料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一、评审内容:供应商根据本项目提供服务方案。方案内容包括但不限于：①服务内容；②服务标准；③服务方案描述；④服务档案管理；⑤服务应急响应等。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项目团队人员</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监测方案</w:t>
            </w:r>
          </w:p>
        </w:tc>
        <w:tc>
          <w:tcPr>
            <w:tcW w:type="dxa" w:w="2492"/>
          </w:tcPr>
          <w:p>
            <w:pPr>
              <w:pStyle w:val="null3"/>
            </w:pPr>
            <w:r>
              <w:rPr>
                <w:rFonts w:ascii="仿宋_GB2312" w:hAnsi="仿宋_GB2312" w:cs="仿宋_GB2312" w:eastAsia="仿宋_GB2312"/>
              </w:rPr>
              <w:t>一、评审内容:供应商根据本项目提供监测方案。方案内容包括但不限于：①监测点设置；②监测频率与方法；③监测数据管理：④诱捕监测方案等。⑤监测预警与应急联动机制。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项目团队人员</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预防方案</w:t>
            </w:r>
          </w:p>
        </w:tc>
        <w:tc>
          <w:tcPr>
            <w:tcW w:type="dxa" w:w="2492"/>
          </w:tcPr>
          <w:p>
            <w:pPr>
              <w:pStyle w:val="null3"/>
            </w:pPr>
            <w:r>
              <w:rPr>
                <w:rFonts w:ascii="仿宋_GB2312" w:hAnsi="仿宋_GB2312" w:cs="仿宋_GB2312" w:eastAsia="仿宋_GB2312"/>
              </w:rPr>
              <w:t>一、评审内容:供应商根据本项目提供预防方案。方案内容包括但不限于：①预防措施；②预防资源保障；③预防时序规划；④风险预判及应对；⑤预防效果评估等。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项目团队人员</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防治方案</w:t>
            </w:r>
          </w:p>
        </w:tc>
        <w:tc>
          <w:tcPr>
            <w:tcW w:type="dxa" w:w="2492"/>
          </w:tcPr>
          <w:p>
            <w:pPr>
              <w:pStyle w:val="null3"/>
            </w:pPr>
            <w:r>
              <w:rPr>
                <w:rFonts w:ascii="仿宋_GB2312" w:hAnsi="仿宋_GB2312" w:cs="仿宋_GB2312" w:eastAsia="仿宋_GB2312"/>
              </w:rPr>
              <w:t>一、评审内容:供应商根据本项目提供人员配备方案。方案内容包括但不限于：①专业服务团队配置；②人员组织结构与岗位职责；③核心人员资质与经验；④团队稳定性保障措施；⑤人员培训与考核机制等。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项目团队人员</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一、评审内容:供应商根据本项目提供防治方案。方案内容包括但不限于：①进度计划安排措施；②验收保证措施；③安全保证措施等；④售后承诺；⑤服务质量保障措施等。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供应商应提供的资格证明文件材料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项目团队人员</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根据本项目提供人员配备方案。方案内容包括但不限于：①专业服务团队规模与适配性；②人员组织结构与岗位职责；③核心人员资质与经验；④团队稳定性保障措施；⑤人员培训与考核机制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项目团队人员</w:t>
            </w:r>
          </w:p>
          <w:p>
            <w:pPr>
              <w:pStyle w:val="null3"/>
            </w:pPr>
            <w:r>
              <w:rPr>
                <w:rFonts w:ascii="仿宋_GB2312" w:hAnsi="仿宋_GB2312" w:cs="仿宋_GB2312" w:eastAsia="仿宋_GB2312"/>
              </w:rPr>
              <w:t>设备一览表</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提供供应商近三年类似项目合同，每提供1个得1分，最高得5分。 赋分依据：加盖公章的合同复印件或中标通知书复印件（时间以合同复印件或中标通知书签订为准。）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投标人认为需要提供的其它资料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供应商的投标总价超过招标预算金额的视为废标，不再参与下一步评审。(2)评标基准价:所有有效投标报价的最低报价作为评标基准价。(3)磋商报价得分=(磋商基准价/最终磋商报价)×10%×100的公式计算得分。符合竞争性磋商文件规定的监狱企业、残疾人企业优惠条件的投标人，价格给予政策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投标人参与采购活动的承诺函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详见附件：法定代表人资格证明书</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详见附件：供应商应提供的资格证明文件材料</w:t>
      </w:r>
    </w:p>
    <w:p>
      <w:pPr>
        <w:pStyle w:val="null3"/>
        <w:ind w:firstLine="960"/>
      </w:pPr>
      <w:r>
        <w:rPr>
          <w:rFonts w:ascii="仿宋_GB2312" w:hAnsi="仿宋_GB2312" w:cs="仿宋_GB2312" w:eastAsia="仿宋_GB2312"/>
        </w:rPr>
        <w:t>详见附件：项目实施总体方案.</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详见附件：项目团队人员</w:t>
      </w:r>
    </w:p>
    <w:p>
      <w:pPr>
        <w:pStyle w:val="null3"/>
        <w:ind w:firstLine="960"/>
      </w:pPr>
      <w:r>
        <w:rPr>
          <w:rFonts w:ascii="仿宋_GB2312" w:hAnsi="仿宋_GB2312" w:cs="仿宋_GB2312" w:eastAsia="仿宋_GB2312"/>
        </w:rPr>
        <w:t>详见附件：设备一览表</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详见附件：投标人认为需要提供的其它资料</w:t>
      </w:r>
    </w:p>
    <w:p>
      <w:pPr>
        <w:pStyle w:val="null3"/>
        <w:ind w:firstLine="960"/>
      </w:pPr>
      <w:r>
        <w:rPr>
          <w:rFonts w:ascii="仿宋_GB2312" w:hAnsi="仿宋_GB2312" w:cs="仿宋_GB2312" w:eastAsia="仿宋_GB2312"/>
        </w:rPr>
        <w:t>详见附件：投标人参与采购活动的承诺函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