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版本号：QH2026-CS-01620260312001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2025年中央财政林业草原生态保护恢复资金(第二批)森林生态保护补偿项目管护基础设施修缮和林区管护设施修缮建设项目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QH2026-CS-016</w:t>
      </w:r>
      <w:r>
        <w:br/>
      </w:r>
      <w:r>
        <w:br/>
      </w:r>
      <w:r>
        <w:br/>
      </w:r>
    </w:p>
    <w:p>
      <w:pPr>
        <w:pStyle w:val="null3"/>
        <w:jc w:val="center"/>
        <w:outlineLvl w:val="2"/>
      </w:pPr>
      <w:r>
        <w:rPr>
          <w:rFonts w:ascii="仿宋_GB2312" w:hAnsi="仿宋_GB2312" w:cs="仿宋_GB2312" w:eastAsia="仿宋_GB2312"/>
          <w:sz w:val="28"/>
          <w:b/>
        </w:rPr>
        <w:t>西安市周至县国有永红生态林场</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西安市周至县国有永红生态林场</w:t>
      </w:r>
      <w:r>
        <w:rPr>
          <w:rFonts w:ascii="仿宋_GB2312" w:hAnsi="仿宋_GB2312" w:cs="仿宋_GB2312" w:eastAsia="仿宋_GB2312"/>
        </w:rPr>
        <w:t>委托，拟对</w:t>
      </w:r>
      <w:r>
        <w:rPr>
          <w:rFonts w:ascii="仿宋_GB2312" w:hAnsi="仿宋_GB2312" w:cs="仿宋_GB2312" w:eastAsia="仿宋_GB2312"/>
        </w:rPr>
        <w:t>2025年中央财政林业草原生态保护恢复资金(第二批)森林生态保护补偿项目管护基础设施修缮和林区管护设施修缮建设项目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QH2026-CS-016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2025年中央财政林业草原生态保护恢复资金(第二批)森林生态保护补偿项目管护基础设施修缮和林区管护设施修缮建设项目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2025年中央财政林业草原生态保护恢复资金(第二批)森林生态保护补偿项目管护基础设施修缮和林区管护设施修缮建设项目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采购包1（2025年中央财政林业草原生态保护恢复资金(第二批)森林生态保护补偿项目管护基础设施修缮和林区管护设施修缮建设项目）：属于专门面向中小企业采购。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4、完税证明：提供磋商截止日前近一年内至少一个月的纳税证明或完税证明，依法免税的单位应提供相关证明材料；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7、公司资质：供应商具有建设行政主管部门颁发的市政公用工程施工总承包三级及以上(含三级)资质，且具备有效的安全生产许可证；</w:t>
      </w:r>
    </w:p>
    <w:p>
      <w:pPr>
        <w:pStyle w:val="null3"/>
      </w:pPr>
      <w:r>
        <w:rPr>
          <w:rFonts w:ascii="仿宋_GB2312" w:hAnsi="仿宋_GB2312" w:cs="仿宋_GB2312" w:eastAsia="仿宋_GB2312"/>
        </w:rPr>
        <w:t>8、项目经理资质：拟派项目经理须具有市政公用工程专业二级及以上注册建造师资质并具有安全生产考核合格证，在本单位注册且无在建工程（提供无在建承诺书）；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9、说明及承诺书：提供具有履行本合同所必需的设备和专业技术能力的说明及承诺书；</w:t>
      </w:r>
    </w:p>
    <w:p>
      <w:pPr>
        <w:pStyle w:val="null3"/>
      </w:pPr>
      <w:r>
        <w:rPr>
          <w:rFonts w:ascii="仿宋_GB2312" w:hAnsi="仿宋_GB2312" w:cs="仿宋_GB2312" w:eastAsia="仿宋_GB2312"/>
        </w:rPr>
        <w:t>10、无重大违法记录声明：参加政府采购活动前3年内，在经营活动中没有重大违法记录的书面声明；</w:t>
      </w:r>
    </w:p>
    <w:p>
      <w:pPr>
        <w:pStyle w:val="null3"/>
      </w:pPr>
      <w:r>
        <w:rPr>
          <w:rFonts w:ascii="仿宋_GB2312" w:hAnsi="仿宋_GB2312" w:cs="仿宋_GB2312" w:eastAsia="仿宋_GB2312"/>
        </w:rPr>
        <w:t>11、供应商企业关系关联承诺书：提供直接控股和管理关系清单。若与其他供应商存在单位负责人为同一人或者存在直接控股、管理关系的，则投标无效；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12、中小企业声明函：提供中小企业声明函；</w:t>
      </w:r>
    </w:p>
    <w:p>
      <w:pPr>
        <w:pStyle w:val="null3"/>
      </w:pPr>
      <w:r>
        <w:rPr>
          <w:rFonts w:ascii="仿宋_GB2312" w:hAnsi="仿宋_GB2312" w:cs="仿宋_GB2312" w:eastAsia="仿宋_GB2312"/>
        </w:rPr>
        <w:t>13、不接受联合体投标：本项目不接受联合体投标（提供承诺书）。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西安市周至县国有永红生态林场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周至县广济镇北大坪村南新街169号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西安市周至县国营永红林场经办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13474057980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采购包1：1,060,285.87元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西安市周至县国有永红生态林场</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西安市周至县国有永红生态林场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西安市周至县国有永红生态林场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1,060,285.87</w:t>
      </w:r>
    </w:p>
    <w:p>
      <w:pPr>
        <w:pStyle w:val="null3"/>
      </w:pPr>
      <w:r>
        <w:rPr>
          <w:rFonts w:ascii="仿宋_GB2312" w:hAnsi="仿宋_GB2312" w:cs="仿宋_GB2312" w:eastAsia="仿宋_GB2312"/>
        </w:rPr>
        <w:t>采购包最高限价（元）: 1,060,285.87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2025年中央财政林业草原生态保护恢复资金(第二批)森林生态保护补偿项目管护基础设施修缮和林区管护设施修缮建设项目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1,060,285.87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标的名称：2025年中央财政林业草原生态保护恢复资金(第二批)森林生态保护补偿项目管护基础设施修缮和林区管护设施修缮建设项目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1、质量标准：符合国家现行有关施工质量验收规范“合格”要求标准</w:t>
            </w:r>
            <w:r>
              <w:br/>
            </w:r>
            <w:r>
              <w:rPr>
                <w:rFonts w:ascii="仿宋_GB2312" w:hAnsi="仿宋_GB2312" w:cs="仿宋_GB2312" w:eastAsia="仿宋_GB2312"/>
              </w:rPr>
              <w:t xml:space="preserve"> 2、工期：自合同签订之日起180日历天</w:t>
            </w:r>
            <w:r>
              <w:br/>
            </w:r>
            <w:r>
              <w:rPr>
                <w:rFonts w:ascii="仿宋_GB2312" w:hAnsi="仿宋_GB2312" w:cs="仿宋_GB2312" w:eastAsia="仿宋_GB2312"/>
              </w:rPr>
              <w:t xml:space="preserve"> 3、详见电子招标书和工程量清单</w:t>
            </w:r>
            <w:r>
              <w:br/>
            </w:r>
            <w:r>
              <w:rPr>
                <w:rFonts w:ascii="仿宋_GB2312" w:hAnsi="仿宋_GB2312" w:cs="仿宋_GB2312" w:eastAsia="仿宋_GB2312"/>
              </w:rPr>
              <w:t xml:space="preserve"> 4、广联达版本号：7.5000.23.2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达到现行国家有关验收规范“合格”标准。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供应商具有建设行政主管部门颁发的市政公用工程施工总承包三级及以上(含三级)资质，且具备有效的安全生产许可证；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业绩一览表.docx 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业绩一览表.docx 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新技术 、新产品 、新工艺 、新材料应用</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提供2023年1月至今（以合同签订日期为准）具有类似项目业绩的，每有1项计2分，最多得6分；未提供不计分。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价格分统一采用低价优先法计算，即满足招标文件要求且最后投标报价最低的供应商的价格为报价基准价，其价格分为满分。其他供应商的价格分统一按照下列公式计算： 投标报价得分=(报价基准价／最后报价)×价格分值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