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版本号：QH2026-CS-01820260319001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2025年中央财政林业草原生态保护恢复资金（第二批）森林管护宣传及管护设施购置项目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QH2026-CS-018</w:t>
      </w:r>
      <w:r>
        <w:br/>
      </w:r>
      <w:r>
        <w:br/>
      </w:r>
      <w:r>
        <w:br/>
      </w:r>
    </w:p>
    <w:p>
      <w:pPr>
        <w:pStyle w:val="null3"/>
        <w:jc w:val="center"/>
        <w:outlineLvl w:val="2"/>
      </w:pPr>
      <w:r>
        <w:rPr>
          <w:rFonts w:ascii="仿宋_GB2312" w:hAnsi="仿宋_GB2312" w:cs="仿宋_GB2312" w:eastAsia="仿宋_GB2312"/>
          <w:sz w:val="28"/>
          <w:b/>
        </w:rPr>
        <w:t>周至县国有厚畛子生态实验林场</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周至县国有厚畛子生态实验林场</w:t>
      </w:r>
      <w:r>
        <w:rPr>
          <w:rFonts w:ascii="仿宋_GB2312" w:hAnsi="仿宋_GB2312" w:cs="仿宋_GB2312" w:eastAsia="仿宋_GB2312"/>
        </w:rPr>
        <w:t>委托，拟对</w:t>
      </w:r>
      <w:r>
        <w:rPr>
          <w:rFonts w:ascii="仿宋_GB2312" w:hAnsi="仿宋_GB2312" w:cs="仿宋_GB2312" w:eastAsia="仿宋_GB2312"/>
        </w:rPr>
        <w:t>2025年中央财政林业草原生态保护恢复资金（第二批）森林管护宣传及管护设施购置项目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QH2026-CS-018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2025年中央财政林业草原生态保护恢复资金（第二批）森林管护宣传及管护设施购置项目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2025年中央财政林业草原生态保护恢复资金（第二批）森林管护宣传及管护设施购置项目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磋商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查询相关主体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7、书面声明：参加政府采购活动前3年内，在经营活动中没有重大违法记录的书面声明；</w:t>
      </w:r>
    </w:p>
    <w:p>
      <w:pPr>
        <w:pStyle w:val="null3"/>
      </w:pPr>
      <w:r>
        <w:rPr>
          <w:rFonts w:ascii="仿宋_GB2312" w:hAnsi="仿宋_GB2312" w:cs="仿宋_GB2312" w:eastAsia="仿宋_GB2312"/>
        </w:rPr>
        <w:t>8、说明及承诺书：提供具有履行本合同所必须的设备和专业技术能力的说明及承诺书；</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10、不接受联合体磋商：本项目不接受联合体磋商（提供承诺书）；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周至县国有厚畛子生态实验林场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周至县国有厚畛子生态实验林场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13572457456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采购包1：308,975.00元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周至县国有厚畛子生态实验林场</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周至县国有厚畛子生态实验林场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2025年中央财政林业草原生态保护恢复资金（第二批）森林管护宣传及管护设施购置项目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308,975.00</w:t>
      </w:r>
    </w:p>
    <w:p>
      <w:pPr>
        <w:pStyle w:val="null3"/>
      </w:pPr>
      <w:r>
        <w:rPr>
          <w:rFonts w:ascii="仿宋_GB2312" w:hAnsi="仿宋_GB2312" w:cs="仿宋_GB2312" w:eastAsia="仿宋_GB2312"/>
        </w:rPr>
        <w:t>采购包最高限价（元）: 308,975.00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2025年中央财政林业草原生态保护恢复资金（第二 批）森林管护宣传及管护设施购置项目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308,975.00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标的名称：2025年中央财政林业草原生态保护恢复资金（第二 批）森林管护宣传及管护设施购置项目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6"/>
              <w:gridCol w:w="414"/>
              <w:gridCol w:w="1331"/>
              <w:gridCol w:w="261"/>
              <w:gridCol w:w="291"/>
            </w:tblGrid>
            <w:tr>
              <w:tc>
                <w:tcPr>
                  <w:tcW w:type="dxa" w:w="25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1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w:t>
                  </w:r>
                </w:p>
              </w:tc>
              <w:tc>
                <w:tcPr>
                  <w:tcW w:type="dxa" w:w="133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2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9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制作钢结构宣传牌</w:t>
                  </w:r>
                </w:p>
              </w:tc>
              <w:tc>
                <w:tcPr>
                  <w:tcW w:type="dxa" w:w="13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1、主材国标L40镀锌角钢，0.8mm镀锌钢板，立柱150mm厚5mm镀锌圆钢。</w:t>
                  </w:r>
                  <w:r>
                    <w:br/>
                  </w:r>
                  <w:r>
                    <w:rPr>
                      <w:rFonts w:ascii="仿宋_GB2312" w:hAnsi="仿宋_GB2312" w:cs="仿宋_GB2312" w:eastAsia="仿宋_GB2312"/>
                      <w:sz w:val="22"/>
                      <w:color w:val="000000"/>
                    </w:rPr>
                    <w:t>2、主体高度7500mm，宣传牌宽10000mm，高度6000mm，画面为550喷绘布。</w:t>
                  </w:r>
                </w:p>
              </w:tc>
              <w:tc>
                <w:tcPr>
                  <w:tcW w:type="dxa" w:w="2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w:t>
                  </w:r>
                </w:p>
              </w:tc>
              <w:tc>
                <w:tcPr>
                  <w:tcW w:type="dxa" w:w="29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r>
            <w:tr>
              <w:tc>
                <w:tcPr>
                  <w:tcW w:type="dxa" w:w="2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宣传牌加固维修</w:t>
                  </w:r>
                </w:p>
              </w:tc>
              <w:tc>
                <w:tcPr>
                  <w:tcW w:type="dxa" w:w="13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拆除原有损坏立柱及板面，骨架采用国标</w:t>
                  </w:r>
                  <w:r>
                    <w:rPr>
                      <w:rFonts w:ascii="仿宋_GB2312" w:hAnsi="仿宋_GB2312" w:cs="仿宋_GB2312" w:eastAsia="仿宋_GB2312"/>
                      <w:sz w:val="22"/>
                      <w:color w:val="000000"/>
                    </w:rPr>
                    <w:t>L40镀锌角钢，0.8mm镀锌钢板，画面为550喷绘布。</w:t>
                  </w:r>
                </w:p>
              </w:tc>
              <w:tc>
                <w:tcPr>
                  <w:tcW w:type="dxa" w:w="2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p>
              </w:tc>
              <w:tc>
                <w:tcPr>
                  <w:tcW w:type="dxa" w:w="29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2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宣传喷绘更换</w:t>
                  </w:r>
                </w:p>
              </w:tc>
              <w:tc>
                <w:tcPr>
                  <w:tcW w:type="dxa" w:w="13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550喷绘布</w:t>
                  </w:r>
                </w:p>
              </w:tc>
              <w:tc>
                <w:tcPr>
                  <w:tcW w:type="dxa" w:w="2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450</w:t>
                  </w:r>
                </w:p>
              </w:tc>
              <w:tc>
                <w:tcPr>
                  <w:tcW w:type="dxa" w:w="29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r>
            <w:tr>
              <w:tc>
                <w:tcPr>
                  <w:tcW w:type="dxa" w:w="2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太阳能路灯</w:t>
                  </w:r>
                </w:p>
              </w:tc>
              <w:tc>
                <w:tcPr>
                  <w:tcW w:type="dxa" w:w="13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1、高效多晶硅太阳能电池板，功率60W，转化率≥20%。</w:t>
                  </w:r>
                  <w:r>
                    <w:br/>
                  </w:r>
                  <w:r>
                    <w:rPr>
                      <w:rFonts w:ascii="仿宋_GB2312" w:hAnsi="仿宋_GB2312" w:cs="仿宋_GB2312" w:eastAsia="仿宋_GB2312"/>
                      <w:sz w:val="22"/>
                      <w:color w:val="000000"/>
                    </w:rPr>
                    <w:t>2、优质太阳能专用锂电池，采用全新电芯，配置60AH。</w:t>
                  </w:r>
                  <w:r>
                    <w:br/>
                  </w:r>
                  <w:r>
                    <w:rPr>
                      <w:rFonts w:ascii="仿宋_GB2312" w:hAnsi="仿宋_GB2312" w:cs="仿宋_GB2312" w:eastAsia="仿宋_GB2312"/>
                      <w:sz w:val="22"/>
                      <w:color w:val="000000"/>
                    </w:rPr>
                    <w:t>3、光源功率60W，采用品牌芯片。</w:t>
                  </w:r>
                  <w:r>
                    <w:br/>
                  </w:r>
                  <w:r>
                    <w:rPr>
                      <w:rFonts w:ascii="仿宋_GB2312" w:hAnsi="仿宋_GB2312" w:cs="仿宋_GB2312" w:eastAsia="仿宋_GB2312"/>
                      <w:sz w:val="22"/>
                      <w:color w:val="000000"/>
                    </w:rPr>
                    <w:t>4、光控和时控结合控制。</w:t>
                  </w:r>
                  <w:r>
                    <w:br/>
                  </w:r>
                  <w:r>
                    <w:rPr>
                      <w:rFonts w:ascii="仿宋_GB2312" w:hAnsi="仿宋_GB2312" w:cs="仿宋_GB2312" w:eastAsia="仿宋_GB2312"/>
                      <w:sz w:val="22"/>
                      <w:color w:val="000000"/>
                    </w:rPr>
                    <w:t>5、高度约6米，锥杆，上下口径55-130mm，壁厚约2.0mm，热镀锌喷塑处理。</w:t>
                  </w:r>
                  <w:r>
                    <w:br/>
                  </w:r>
                  <w:r>
                    <w:rPr>
                      <w:rFonts w:ascii="仿宋_GB2312" w:hAnsi="仿宋_GB2312" w:cs="仿宋_GB2312" w:eastAsia="仿宋_GB2312"/>
                      <w:sz w:val="22"/>
                      <w:color w:val="000000"/>
                    </w:rPr>
                    <w:t>6、标准铜线约2.5m。</w:t>
                  </w:r>
                  <w:r>
                    <w:br/>
                  </w:r>
                  <w:r>
                    <w:rPr>
                      <w:rFonts w:ascii="仿宋_GB2312" w:hAnsi="仿宋_GB2312" w:cs="仿宋_GB2312" w:eastAsia="仿宋_GB2312"/>
                      <w:sz w:val="22"/>
                      <w:color w:val="000000"/>
                    </w:rPr>
                    <w:t>7、通宵亮灯，可保证连续3-5个阴雨天正常亮灯。</w:t>
                  </w:r>
                </w:p>
              </w:tc>
              <w:tc>
                <w:tcPr>
                  <w:tcW w:type="dxa" w:w="2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w:t>
                  </w:r>
                </w:p>
              </w:tc>
              <w:tc>
                <w:tcPr>
                  <w:tcW w:type="dxa" w:w="29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2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大阳能语音警示器</w:t>
                  </w:r>
                </w:p>
              </w:tc>
              <w:tc>
                <w:tcPr>
                  <w:tcW w:type="dxa" w:w="13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1、红蓝爆闪灯：电压：12V ，功率2W。闪光频率：约60次/分钟。光源寿命：约5万小时。防护等级：IP67；</w:t>
                  </w:r>
                  <w:r>
                    <w:br/>
                  </w:r>
                  <w:r>
                    <w:rPr>
                      <w:rFonts w:ascii="仿宋_GB2312" w:hAnsi="仿宋_GB2312" w:cs="仿宋_GB2312" w:eastAsia="仿宋_GB2312"/>
                      <w:sz w:val="22"/>
                      <w:color w:val="000000"/>
                    </w:rPr>
                    <w:t>2、太阳能控制器具有短路保护，过充过载保护，欠压保护；</w:t>
                  </w:r>
                  <w:r>
                    <w:br/>
                  </w:r>
                  <w:r>
                    <w:rPr>
                      <w:rFonts w:ascii="仿宋_GB2312" w:hAnsi="仿宋_GB2312" w:cs="仿宋_GB2312" w:eastAsia="仿宋_GB2312"/>
                      <w:sz w:val="22"/>
                      <w:color w:val="000000"/>
                    </w:rPr>
                    <w:t>3、红外感应模块：采用红外热释电感应探头；感应角度为正前方120度；</w:t>
                  </w:r>
                  <w:r>
                    <w:br/>
                  </w:r>
                  <w:r>
                    <w:rPr>
                      <w:rFonts w:ascii="仿宋_GB2312" w:hAnsi="仿宋_GB2312" w:cs="仿宋_GB2312" w:eastAsia="仿宋_GB2312"/>
                      <w:sz w:val="22"/>
                      <w:color w:val="000000"/>
                    </w:rPr>
                    <w:t>4、感应探头工作温度范围：在-30℃~50℃温度范围内，设备能正常工作；</w:t>
                  </w:r>
                  <w:r>
                    <w:br/>
                  </w:r>
                  <w:r>
                    <w:rPr>
                      <w:rFonts w:ascii="仿宋_GB2312" w:hAnsi="仿宋_GB2312" w:cs="仿宋_GB2312" w:eastAsia="仿宋_GB2312"/>
                      <w:sz w:val="22"/>
                      <w:color w:val="000000"/>
                    </w:rPr>
                    <w:t>5、感应距离约1-10米；</w:t>
                  </w:r>
                  <w:r>
                    <w:br/>
                  </w:r>
                  <w:r>
                    <w:rPr>
                      <w:rFonts w:ascii="仿宋_GB2312" w:hAnsi="仿宋_GB2312" w:cs="仿宋_GB2312" w:eastAsia="仿宋_GB2312"/>
                      <w:sz w:val="22"/>
                      <w:color w:val="000000"/>
                    </w:rPr>
                    <w:t>6、定时模块：语音功能可以设置定时时间段，可以通过手机小程序设置；</w:t>
                  </w:r>
                  <w:r>
                    <w:br/>
                  </w:r>
                  <w:r>
                    <w:rPr>
                      <w:rFonts w:ascii="仿宋_GB2312" w:hAnsi="仿宋_GB2312" w:cs="仿宋_GB2312" w:eastAsia="仿宋_GB2312"/>
                      <w:sz w:val="22"/>
                      <w:color w:val="000000"/>
                    </w:rPr>
                    <w:t>7、声音输出功率15W；音频文件采用MP3文件，内容可以调换；语音模块功放音量大小可调，上下曲可调，具有感应播放、到点循环播放模式和停止/播放等设定；喇叭：约5寸8欧 15W户外防水喇叭；</w:t>
                  </w:r>
                  <w:r>
                    <w:br/>
                  </w:r>
                  <w:r>
                    <w:rPr>
                      <w:rFonts w:ascii="仿宋_GB2312" w:hAnsi="仿宋_GB2312" w:cs="仿宋_GB2312" w:eastAsia="仿宋_GB2312"/>
                      <w:sz w:val="22"/>
                      <w:color w:val="000000"/>
                    </w:rPr>
                    <w:t>8、声压值≤120dB；</w:t>
                  </w:r>
                  <w:r>
                    <w:br/>
                  </w:r>
                  <w:r>
                    <w:rPr>
                      <w:rFonts w:ascii="仿宋_GB2312" w:hAnsi="仿宋_GB2312" w:cs="仿宋_GB2312" w:eastAsia="仿宋_GB2312"/>
                      <w:sz w:val="22"/>
                      <w:color w:val="000000"/>
                    </w:rPr>
                    <w:t>9、手机小程序控制距离约1-8米；</w:t>
                  </w:r>
                  <w:r>
                    <w:br/>
                  </w:r>
                  <w:r>
                    <w:rPr>
                      <w:rFonts w:ascii="仿宋_GB2312" w:hAnsi="仿宋_GB2312" w:cs="仿宋_GB2312" w:eastAsia="仿宋_GB2312"/>
                      <w:sz w:val="22"/>
                      <w:color w:val="000000"/>
                    </w:rPr>
                    <w:t>10、连续待机时间不小于5-7天</w:t>
                  </w:r>
                  <w:r>
                    <w:br/>
                  </w:r>
                  <w:r>
                    <w:rPr>
                      <w:rFonts w:ascii="仿宋_GB2312" w:hAnsi="仿宋_GB2312" w:cs="仿宋_GB2312" w:eastAsia="仿宋_GB2312"/>
                      <w:sz w:val="22"/>
                      <w:color w:val="000000"/>
                    </w:rPr>
                    <w:t>11、使用温度：-35℃~60℃</w:t>
                  </w:r>
                  <w:r>
                    <w:br/>
                  </w:r>
                  <w:r>
                    <w:rPr>
                      <w:rFonts w:ascii="仿宋_GB2312" w:hAnsi="仿宋_GB2312" w:cs="仿宋_GB2312" w:eastAsia="仿宋_GB2312"/>
                      <w:sz w:val="22"/>
                      <w:color w:val="000000"/>
                    </w:rPr>
                    <w:t>12、防水等级：IP65；</w:t>
                  </w:r>
                  <w:r>
                    <w:br/>
                  </w:r>
                  <w:r>
                    <w:rPr>
                      <w:rFonts w:ascii="仿宋_GB2312" w:hAnsi="仿宋_GB2312" w:cs="仿宋_GB2312" w:eastAsia="仿宋_GB2312"/>
                      <w:sz w:val="22"/>
                      <w:color w:val="000000"/>
                    </w:rPr>
                    <w:t>13、声音可以更换；</w:t>
                  </w:r>
                  <w:r>
                    <w:br/>
                  </w:r>
                  <w:r>
                    <w:rPr>
                      <w:rFonts w:ascii="仿宋_GB2312" w:hAnsi="仿宋_GB2312" w:cs="仿宋_GB2312" w:eastAsia="仿宋_GB2312"/>
                      <w:sz w:val="22"/>
                      <w:color w:val="000000"/>
                    </w:rPr>
                    <w:t>14、可以升级通过摄像头联动远程喊话；</w:t>
                  </w:r>
                  <w:r>
                    <w:br/>
                  </w:r>
                  <w:r>
                    <w:rPr>
                      <w:rFonts w:ascii="仿宋_GB2312" w:hAnsi="仿宋_GB2312" w:cs="仿宋_GB2312" w:eastAsia="仿宋_GB2312"/>
                      <w:sz w:val="22"/>
                      <w:color w:val="000000"/>
                    </w:rPr>
                    <w:t>15、一键文字合成语音，方便更换声音；</w:t>
                  </w:r>
                  <w:r>
                    <w:br/>
                  </w:r>
                  <w:r>
                    <w:rPr>
                      <w:rFonts w:ascii="仿宋_GB2312" w:hAnsi="仿宋_GB2312" w:cs="仿宋_GB2312" w:eastAsia="仿宋_GB2312"/>
                      <w:sz w:val="22"/>
                      <w:color w:val="000000"/>
                    </w:rPr>
                    <w:t>16、锂电池充电电池 电压：12V  容量：7500mA</w:t>
                  </w:r>
                  <w:r>
                    <w:br/>
                  </w:r>
                  <w:r>
                    <w:rPr>
                      <w:rFonts w:ascii="仿宋_GB2312" w:hAnsi="仿宋_GB2312" w:cs="仿宋_GB2312" w:eastAsia="仿宋_GB2312"/>
                      <w:sz w:val="22"/>
                      <w:color w:val="000000"/>
                    </w:rPr>
                    <w:t xml:space="preserve">17、太阳能板 1 块 </w:t>
                  </w:r>
                  <w:r>
                    <w:br/>
                  </w:r>
                  <w:r>
                    <w:rPr>
                      <w:rFonts w:ascii="仿宋_GB2312" w:hAnsi="仿宋_GB2312" w:cs="仿宋_GB2312" w:eastAsia="仿宋_GB2312"/>
                      <w:sz w:val="22"/>
                      <w:color w:val="000000"/>
                    </w:rPr>
                    <w:t>合计功率：</w:t>
                  </w:r>
                  <w:r>
                    <w:rPr>
                      <w:rFonts w:ascii="仿宋_GB2312" w:hAnsi="仿宋_GB2312" w:cs="仿宋_GB2312" w:eastAsia="仿宋_GB2312"/>
                      <w:sz w:val="22"/>
                      <w:color w:val="000000"/>
                    </w:rPr>
                    <w:t>30W</w:t>
                  </w:r>
                  <w:r>
                    <w:br/>
                  </w:r>
                  <w:r>
                    <w:rPr>
                      <w:rFonts w:ascii="仿宋_GB2312" w:hAnsi="仿宋_GB2312" w:cs="仿宋_GB2312" w:eastAsia="仿宋_GB2312"/>
                      <w:sz w:val="22"/>
                      <w:color w:val="000000"/>
                    </w:rPr>
                    <w:t>最大工作电压：</w:t>
                  </w:r>
                  <w:r>
                    <w:rPr>
                      <w:rFonts w:ascii="仿宋_GB2312" w:hAnsi="仿宋_GB2312" w:cs="仿宋_GB2312" w:eastAsia="仿宋_GB2312"/>
                      <w:sz w:val="22"/>
                      <w:color w:val="000000"/>
                    </w:rPr>
                    <w:t>18V</w:t>
                  </w:r>
                  <w:r>
                    <w:br/>
                  </w:r>
                  <w:r>
                    <w:rPr>
                      <w:rFonts w:ascii="仿宋_GB2312" w:hAnsi="仿宋_GB2312" w:cs="仿宋_GB2312" w:eastAsia="仿宋_GB2312"/>
                      <w:sz w:val="22"/>
                      <w:color w:val="000000"/>
                    </w:rPr>
                    <w:t>最大工作电流：</w:t>
                  </w:r>
                  <w:r>
                    <w:rPr>
                      <w:rFonts w:ascii="仿宋_GB2312" w:hAnsi="仿宋_GB2312" w:cs="仿宋_GB2312" w:eastAsia="仿宋_GB2312"/>
                      <w:sz w:val="22"/>
                      <w:color w:val="000000"/>
                    </w:rPr>
                    <w:t>3.52A</w:t>
                  </w:r>
                  <w:r>
                    <w:br/>
                  </w:r>
                  <w:r>
                    <w:rPr>
                      <w:rFonts w:ascii="仿宋_GB2312" w:hAnsi="仿宋_GB2312" w:cs="仿宋_GB2312" w:eastAsia="仿宋_GB2312"/>
                      <w:sz w:val="22"/>
                      <w:color w:val="000000"/>
                    </w:rPr>
                    <w:t>开路电压：</w:t>
                  </w:r>
                  <w:r>
                    <w:rPr>
                      <w:rFonts w:ascii="仿宋_GB2312" w:hAnsi="仿宋_GB2312" w:cs="仿宋_GB2312" w:eastAsia="仿宋_GB2312"/>
                      <w:sz w:val="22"/>
                      <w:color w:val="000000"/>
                    </w:rPr>
                    <w:t>18.6V</w:t>
                  </w:r>
                  <w:r>
                    <w:br/>
                  </w:r>
                  <w:r>
                    <w:rPr>
                      <w:rFonts w:ascii="仿宋_GB2312" w:hAnsi="仿宋_GB2312" w:cs="仿宋_GB2312" w:eastAsia="仿宋_GB2312"/>
                      <w:sz w:val="22"/>
                      <w:color w:val="000000"/>
                    </w:rPr>
                    <w:t>短路电流：</w:t>
                  </w:r>
                  <w:r>
                    <w:rPr>
                      <w:rFonts w:ascii="仿宋_GB2312" w:hAnsi="仿宋_GB2312" w:cs="仿宋_GB2312" w:eastAsia="仿宋_GB2312"/>
                      <w:sz w:val="22"/>
                      <w:color w:val="000000"/>
                    </w:rPr>
                    <w:t>2.96A</w:t>
                  </w:r>
                  <w:r>
                    <w:br/>
                  </w:r>
                  <w:r>
                    <w:rPr>
                      <w:rFonts w:ascii="仿宋_GB2312" w:hAnsi="仿宋_GB2312" w:cs="仿宋_GB2312" w:eastAsia="仿宋_GB2312"/>
                      <w:sz w:val="22"/>
                      <w:color w:val="000000"/>
                    </w:rPr>
                    <w:t>18、招牌尺寸约70*30cm</w:t>
                  </w:r>
                </w:p>
                <w:p>
                  <w:pPr>
                    <w:pStyle w:val="null3"/>
                    <w:jc w:val="left"/>
                  </w:pPr>
                  <w:r>
                    <w:rPr>
                      <w:rFonts w:ascii="仿宋_GB2312" w:hAnsi="仿宋_GB2312" w:cs="仿宋_GB2312" w:eastAsia="仿宋_GB2312"/>
                      <w:sz w:val="22"/>
                      <w:color w:val="000000"/>
                    </w:rPr>
                    <w:t>19、五金立杆高度约3米；立杆直径约76mm，厚度约2mm</w:t>
                  </w:r>
                </w:p>
              </w:tc>
              <w:tc>
                <w:tcPr>
                  <w:tcW w:type="dxa" w:w="2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w:t>
                  </w:r>
                </w:p>
              </w:tc>
              <w:tc>
                <w:tcPr>
                  <w:tcW w:type="dxa" w:w="29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2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生物颗粒燃料取暖炉</w:t>
                  </w:r>
                </w:p>
              </w:tc>
              <w:tc>
                <w:tcPr>
                  <w:tcW w:type="dxa" w:w="13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1、供暖面积约80-100平方</w:t>
                  </w:r>
                  <w:r>
                    <w:br/>
                  </w:r>
                  <w:r>
                    <w:rPr>
                      <w:rFonts w:ascii="仿宋_GB2312" w:hAnsi="仿宋_GB2312" w:cs="仿宋_GB2312" w:eastAsia="仿宋_GB2312"/>
                      <w:sz w:val="22"/>
                      <w:color w:val="000000"/>
                    </w:rPr>
                    <w:t>2、产品重量约90千克</w:t>
                  </w:r>
                  <w:r>
                    <w:br/>
                  </w:r>
                  <w:r>
                    <w:rPr>
                      <w:rFonts w:ascii="仿宋_GB2312" w:hAnsi="仿宋_GB2312" w:cs="仿宋_GB2312" w:eastAsia="仿宋_GB2312"/>
                      <w:sz w:val="22"/>
                      <w:color w:val="000000"/>
                    </w:rPr>
                    <w:t>3、每小时耗料:1.3-2.3kg</w:t>
                  </w:r>
                  <w:r>
                    <w:br/>
                  </w:r>
                  <w:r>
                    <w:rPr>
                      <w:rFonts w:ascii="仿宋_GB2312" w:hAnsi="仿宋_GB2312" w:cs="仿宋_GB2312" w:eastAsia="仿宋_GB2312"/>
                      <w:sz w:val="22"/>
                      <w:color w:val="000000"/>
                    </w:rPr>
                    <w:t>4、料斗容积≥13KG</w:t>
                  </w:r>
                </w:p>
              </w:tc>
              <w:tc>
                <w:tcPr>
                  <w:tcW w:type="dxa" w:w="2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w:t>
                  </w:r>
                </w:p>
              </w:tc>
              <w:tc>
                <w:tcPr>
                  <w:tcW w:type="dxa" w:w="29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bl>
          <w:p>
            <w:pPr>
              <w:pStyle w:val="null3"/>
              <w:jc w:val="both"/>
            </w:pPr>
            <w:r>
              <w:rPr>
                <w:rFonts w:ascii="仿宋_GB2312" w:hAnsi="仿宋_GB2312" w:cs="仿宋_GB2312" w:eastAsia="仿宋_GB2312"/>
                <w:sz w:val="21"/>
              </w:rPr>
              <w:t>核心产品：生物颗粒燃料取暖炉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供货完成</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符合国家法律法规和行业相关验收规定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磋商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提供具有履行本合同所必须的设备和专业技术能力的说明及承诺书；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业绩.docx 中小企业声明函 商务应答表 报价表 磋商方案说明书.docx 响应文件封面 产品技术参数表 分项报价表.docx 供应商应提交的相关资格证明材料.docx 残疾人福利性单位声明函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业绩.docx 中小企业声明函 商务应答表 报价表 磋商方案说明书.docx 响应文件封面 产品技术参数表 分项报价表.docx 供应商应提交的相关资格证明材料.docx 残疾人福利性单位声明函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评审内容：①整体规划；②备货；③进度计划；④供货组织；⑤人员配置；⑥分工明细；⑦配送保障。 评审依据：每一项内容描述详细，切实可行符合项目实际内容得2.0分，①～⑦项合计得14分。内容①～⑦项任意一项缺项扣2.0分，扣完为止；内容①～⑦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评审内容：包含但不限于①安装；②调试组织措施。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评审内容：①质量保证措施；②质量保证承诺。 评审依据：每一项内容描述详细，切实可行符合项目实际内容得3.0分，①～②项合计得6分。内容①～②项任意一项缺项扣3.0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磋商响应产品选型符合使用需求，产品配置完整合理，其型号、技术参数清晰明确，根据投标产品的技术指标和性能对磋商文件的响应程度计分。产品整体功能或技术参数完全满足磋商文件要求计10分，部分项负偏离按以下说明扣分。 1.其响应技术指标和性能出现主要技术参数负偏离的，每项扣除2分，扣完为止。 注：主要技术参数偏离情况除偏离表响应外还须提供相应的证明材料，否则不计分。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评审内容：①培训计划；②培训对象；③培训内容；④培训方式；⑤培训目标。 评审依据：每一项内容描述详细，切实可行符合项目实际内容得2.0分，①～⑤项合计得10分。内容①～⑤项任意一项缺项扣2.0分，扣完为止；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评审内容：①售后服务机构承诺；②售后服务保障措施；③人员配置安排计划；④故障处理响应时间安排计划；⑤服务保证期限；⑥服务保证的范围承诺。 评审依据：每一项内容描述详细，切实可行符合项目实际内容得2.0分，①～⑥项合计得12分。内容①～⑥项任意一项缺项扣2.0分，扣完为止；内容①～⑥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内容描述详细，切实可行符合项目实际内容，每提供1条得1分，满分4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提供2023年1月以来承担过类似项目业绩。（以合同签订日期或中标通知书签署日期为准)；每提供一项业绩得2分，最高得6分。须提供合同或中标通知书复印件并加盖公章，不提供不得分。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 投标报价得分＝（评标基准价/投标报价）×30%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