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陕西启航项目管理咨询有限公司</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rPr>
        <w:t xml:space="preserve">陕西启航项目管理咨询有限公司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3、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磋商文件截止时间不足一年的可提供成立后任意时段的资产负债表），审计报告须具有注册会计师行业统一监管平台（http://acc.mof.gov.cn）赋予的验证码；或提供其开标前三个月内基本开户银行出具的资</w:t>
      </w:r>
      <w:bookmarkStart w:id="0" w:name="_GoBack"/>
      <w:bookmarkEnd w:id="0"/>
      <w:r>
        <w:rPr>
          <w:rFonts w:hint="eastAsia" w:ascii="宋体" w:hAnsi="宋体" w:eastAsia="宋体" w:cs="宋体"/>
          <w:i w:val="0"/>
          <w:iCs w:val="0"/>
          <w:caps w:val="0"/>
          <w:color w:val="333333"/>
          <w:spacing w:val="0"/>
          <w:sz w:val="28"/>
          <w:szCs w:val="28"/>
          <w:lang w:val="en-US" w:eastAsia="zh-CN"/>
        </w:rPr>
        <w:t xml:space="preserve">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4、提供递交磋商文件截止日前一年内已缴纳的至少一个月的纳税证明或完税证明（任意税种），依法免税的单位应提供相关证明材料；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5、提供递交磋商文件截止日前一年内已缴存的至少一个月的社会保障资金缴存单据或社保机构开具的社会保险参保缴费情况证明，依法不需要缴纳社会保障资金的单位应提供相关证明材料；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384C70A">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7D03488">
      <w:pPr>
        <w:rPr>
          <w:rFonts w:hint="eastAsia" w:ascii="宋体" w:hAnsi="宋体" w:eastAsia="宋体" w:cs="宋体"/>
          <w:color w:val="000000"/>
          <w:sz w:val="24"/>
        </w:rPr>
      </w:pPr>
      <w:r>
        <w:rPr>
          <w:rFonts w:hint="eastAsia" w:ascii="宋体" w:hAnsi="宋体" w:eastAsia="宋体" w:cs="宋体"/>
          <w:color w:val="000000"/>
          <w:sz w:val="24"/>
        </w:rPr>
        <w:br w:type="page"/>
      </w:r>
    </w:p>
    <w:p w14:paraId="46CBB002">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7、</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2ABA99B2">
      <w:pPr>
        <w:numPr>
          <w:ilvl w:val="0"/>
          <w:numId w:val="0"/>
        </w:numPr>
        <w:rPr>
          <w:rFonts w:hint="eastAsia" w:ascii="宋体" w:hAnsi="宋体" w:eastAsia="宋体" w:cs="宋体"/>
          <w:i w:val="0"/>
          <w:iCs w:val="0"/>
          <w:caps w:val="0"/>
          <w:color w:val="333333"/>
          <w:spacing w:val="0"/>
          <w:sz w:val="28"/>
          <w:szCs w:val="28"/>
          <w:lang w:val="en-US" w:eastAsia="zh-CN"/>
        </w:rPr>
      </w:pPr>
    </w:p>
    <w:p w14:paraId="515B3339">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18E80D0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1B067348">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12DB2DF4">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CF1EFBB">
      <w:pPr>
        <w:pStyle w:val="8"/>
        <w:spacing w:line="480" w:lineRule="auto"/>
        <w:jc w:val="left"/>
        <w:rPr>
          <w:rFonts w:hint="eastAsia" w:ascii="宋体" w:hAnsi="宋体" w:eastAsia="宋体" w:cs="宋体"/>
          <w:b w:val="0"/>
          <w:bCs w:val="0"/>
          <w:kern w:val="0"/>
          <w:sz w:val="24"/>
          <w:highlight w:val="none"/>
          <w:lang w:eastAsia="zh-CN"/>
        </w:rPr>
      </w:pPr>
    </w:p>
    <w:p w14:paraId="0760677E">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D5390D8">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1AA679D1">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7D639D56">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color w:val="000000"/>
          <w:sz w:val="24"/>
        </w:rPr>
      </w:pP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8、提供具有履行本合同所必须的设备和专业技术能力的说明及承诺书；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6736F56B">
      <w:pPr>
        <w:numPr>
          <w:ilvl w:val="0"/>
          <w:numId w:val="0"/>
        </w:num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9、提供直接控股和管理关系清单。若与其他供应商存在单位负责人为同一人或者存在直接控股、管理关系的，则磋商无效；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0C9E5FF8">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日      期：  年  月  日</w:t>
      </w:r>
    </w:p>
    <w:p w14:paraId="0A9554D6">
      <w:pPr>
        <w:rPr>
          <w:rFonts w:hint="eastAsia" w:ascii="宋体" w:hAnsi="宋体" w:eastAsia="宋体" w:cs="宋体"/>
          <w:sz w:val="24"/>
          <w:szCs w:val="32"/>
          <w:highlight w:val="none"/>
        </w:rPr>
      </w:pPr>
      <w:r>
        <w:rPr>
          <w:rFonts w:hint="eastAsia" w:ascii="宋体" w:hAnsi="宋体" w:eastAsia="宋体" w:cs="宋体"/>
          <w:sz w:val="24"/>
          <w:szCs w:val="32"/>
          <w:highlight w:val="none"/>
        </w:rPr>
        <w:br w:type="page"/>
      </w:r>
    </w:p>
    <w:p w14:paraId="70C601DD">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kern w:val="0"/>
          <w:sz w:val="28"/>
          <w:szCs w:val="28"/>
          <w:highlight w:val="none"/>
          <w:lang w:val="en-US" w:eastAsia="zh-CN"/>
        </w:rPr>
        <w:t>10、</w:t>
      </w:r>
      <w:r>
        <w:rPr>
          <w:rFonts w:hint="eastAsia" w:ascii="宋体" w:hAnsi="宋体" w:eastAsia="宋体" w:cs="宋体"/>
          <w:i w:val="0"/>
          <w:iCs w:val="0"/>
          <w:caps w:val="0"/>
          <w:color w:val="333333"/>
          <w:spacing w:val="0"/>
          <w:sz w:val="28"/>
          <w:szCs w:val="28"/>
          <w:lang w:val="en-US" w:eastAsia="zh-CN"/>
        </w:rPr>
        <w:t>本项目不接受联合体磋商（提供承诺书）；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17A777D"/>
    <w:rsid w:val="02E073A3"/>
    <w:rsid w:val="03192A63"/>
    <w:rsid w:val="039B5B6E"/>
    <w:rsid w:val="046046C1"/>
    <w:rsid w:val="07261BF2"/>
    <w:rsid w:val="0AF049F1"/>
    <w:rsid w:val="0B5C5BE2"/>
    <w:rsid w:val="0F1D7D30"/>
    <w:rsid w:val="0FE443F8"/>
    <w:rsid w:val="100D1BA1"/>
    <w:rsid w:val="129C545E"/>
    <w:rsid w:val="12D33C1C"/>
    <w:rsid w:val="13337B71"/>
    <w:rsid w:val="18763A54"/>
    <w:rsid w:val="19220E10"/>
    <w:rsid w:val="195C76F5"/>
    <w:rsid w:val="19980027"/>
    <w:rsid w:val="1A2E1092"/>
    <w:rsid w:val="1B494EEE"/>
    <w:rsid w:val="1D70551D"/>
    <w:rsid w:val="1DC31AF1"/>
    <w:rsid w:val="22A630ED"/>
    <w:rsid w:val="251C5E11"/>
    <w:rsid w:val="27337CE7"/>
    <w:rsid w:val="29835000"/>
    <w:rsid w:val="29C34919"/>
    <w:rsid w:val="2CBC252D"/>
    <w:rsid w:val="35527ED3"/>
    <w:rsid w:val="36EA7C97"/>
    <w:rsid w:val="37D83F93"/>
    <w:rsid w:val="38A7041B"/>
    <w:rsid w:val="394C786B"/>
    <w:rsid w:val="3DA037A5"/>
    <w:rsid w:val="3FA54EEF"/>
    <w:rsid w:val="3FEA72AB"/>
    <w:rsid w:val="3FF2677B"/>
    <w:rsid w:val="4191768D"/>
    <w:rsid w:val="42C51FD6"/>
    <w:rsid w:val="43D1618B"/>
    <w:rsid w:val="4449411A"/>
    <w:rsid w:val="484C07B1"/>
    <w:rsid w:val="490C144A"/>
    <w:rsid w:val="4951704A"/>
    <w:rsid w:val="4A0E096B"/>
    <w:rsid w:val="4B8C383C"/>
    <w:rsid w:val="52862B12"/>
    <w:rsid w:val="52FC75B4"/>
    <w:rsid w:val="53A62CC7"/>
    <w:rsid w:val="57415C40"/>
    <w:rsid w:val="5B21162A"/>
    <w:rsid w:val="5D6677C8"/>
    <w:rsid w:val="5ED0775E"/>
    <w:rsid w:val="5F1D5A08"/>
    <w:rsid w:val="5F41673E"/>
    <w:rsid w:val="60D77C94"/>
    <w:rsid w:val="61BE5E24"/>
    <w:rsid w:val="638C3D00"/>
    <w:rsid w:val="68C55CEA"/>
    <w:rsid w:val="6985296C"/>
    <w:rsid w:val="6CFE2298"/>
    <w:rsid w:val="6E22598D"/>
    <w:rsid w:val="70AE175A"/>
    <w:rsid w:val="71193077"/>
    <w:rsid w:val="71EC078C"/>
    <w:rsid w:val="72962054"/>
    <w:rsid w:val="73816CB2"/>
    <w:rsid w:val="73AB01D2"/>
    <w:rsid w:val="73B61051"/>
    <w:rsid w:val="7DF470D6"/>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2466</Words>
  <Characters>2565</Characters>
  <Lines>0</Lines>
  <Paragraphs>0</Paragraphs>
  <TotalTime>14</TotalTime>
  <ScaleCrop>false</ScaleCrop>
  <LinksUpToDate>false</LinksUpToDate>
  <CharactersWithSpaces>3299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2026-03-19T07:20:05Z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