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版本号：HYGH2026-ZCGK-011220260303001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周至县财政专网建设和运维服务项目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HYGH2026-ZCGK-0112</w:t>
      </w:r>
      <w:r>
        <w:br/>
      </w:r>
      <w:r>
        <w:br/>
      </w:r>
      <w:r>
        <w:br/>
      </w:r>
    </w:p>
    <w:p>
      <w:pPr>
        <w:pStyle w:val="null3"/>
        <w:jc w:val="center"/>
        <w:outlineLvl w:val="2"/>
      </w:pPr>
      <w:r>
        <w:rPr>
          <w:rFonts w:ascii="仿宋_GB2312" w:hAnsi="仿宋_GB2312" w:cs="仿宋_GB2312" w:eastAsia="仿宋_GB2312"/>
          <w:sz w:val="28"/>
          <w:b/>
        </w:rPr>
        <w:t>西安市周至县财政局（本级）</w:t>
      </w:r>
    </w:p>
    <w:p>
      <w:pPr>
        <w:pStyle w:val="null3"/>
        <w:jc w:val="center"/>
        <w:outlineLvl w:val="2"/>
      </w:pPr>
      <w:r>
        <w:rPr>
          <w:rFonts w:ascii="仿宋_GB2312" w:hAnsi="仿宋_GB2312" w:cs="仿宋_GB2312" w:eastAsia="仿宋_GB2312"/>
          <w:sz w:val="28"/>
          <w:b/>
        </w:rPr>
        <w:t>陕西海源广合项目管理有限公司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陕西海源广合项目管理有限公司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西安市周至县财政局（本级）</w:t>
      </w:r>
      <w:r>
        <w:rPr>
          <w:rFonts w:ascii="仿宋_GB2312" w:hAnsi="仿宋_GB2312" w:cs="仿宋_GB2312" w:eastAsia="仿宋_GB2312"/>
        </w:rPr>
        <w:t>委托，拟对</w:t>
      </w:r>
      <w:r>
        <w:rPr>
          <w:rFonts w:ascii="仿宋_GB2312" w:hAnsi="仿宋_GB2312" w:cs="仿宋_GB2312" w:eastAsia="仿宋_GB2312"/>
        </w:rPr>
        <w:t>周至县财政专网建设和运维服务项目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HYGH2026-ZCGK-0112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周至县财政专网建设和运维服务项目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周至县财政专网建设和运维服务项目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1、营业执照等证明文件：提供统一社会信用代码的营业执照或其他组织经营的合法凭证或自然人的提供身份证明文件；</w:t>
      </w:r>
    </w:p>
    <w:p>
      <w:pPr>
        <w:pStyle w:val="null3"/>
      </w:pPr>
      <w:r>
        <w:rPr>
          <w:rFonts w:ascii="仿宋_GB2312" w:hAnsi="仿宋_GB2312" w:cs="仿宋_GB2312" w:eastAsia="仿宋_GB2312"/>
        </w:rPr>
        <w:t>2、法定代表人授权书：提供法定代表人授权书（附法定代表人、被授权人身份证复印件）及被授权人身份证复印件 （法定代表人直接参加投标，须提供法定代表人身份证明及身份证复印件）；</w:t>
      </w:r>
    </w:p>
    <w:p>
      <w:pPr>
        <w:pStyle w:val="null3"/>
      </w:pPr>
      <w:r>
        <w:rPr>
          <w:rFonts w:ascii="仿宋_GB2312" w:hAnsi="仿宋_GB2312" w:cs="仿宋_GB2312" w:eastAsia="仿宋_GB2312"/>
        </w:rPr>
        <w:t>3、财务报告：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4、完税证明：提供投标截止日前近一年内至少一个月的纳税证明或完税证明，依法免税的单位应提供相关证明材料；</w:t>
      </w:r>
    </w:p>
    <w:p>
      <w:pPr>
        <w:pStyle w:val="null3"/>
      </w:pPr>
      <w:r>
        <w:rPr>
          <w:rFonts w:ascii="仿宋_GB2312" w:hAnsi="仿宋_GB2312" w:cs="仿宋_GB2312" w:eastAsia="仿宋_GB2312"/>
        </w:rPr>
        <w:t>5、社保证明：提供投标截止日前近一年内至少一个月的社会保障资金缴存单据或社保机构开具的社会保险参保缴费情况证明，依法不需要缴纳社会保障资金的单位应提供相关证明材料；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失信证明：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7、专业说明：提供具有履行本合同所必需的设备和专业技术能力的说明及承诺书；</w:t>
      </w:r>
    </w:p>
    <w:p>
      <w:pPr>
        <w:pStyle w:val="null3"/>
      </w:pPr>
      <w:r>
        <w:rPr>
          <w:rFonts w:ascii="仿宋_GB2312" w:hAnsi="仿宋_GB2312" w:cs="仿宋_GB2312" w:eastAsia="仿宋_GB2312"/>
        </w:rPr>
        <w:t>8、重大违法记录声明：参加政府采购活动前3年内，在经营活动中没有重大违法记录的书面声明；</w:t>
      </w:r>
    </w:p>
    <w:p>
      <w:pPr>
        <w:pStyle w:val="null3"/>
      </w:pPr>
      <w:r>
        <w:rPr>
          <w:rFonts w:ascii="仿宋_GB2312" w:hAnsi="仿宋_GB2312" w:cs="仿宋_GB2312" w:eastAsia="仿宋_GB2312"/>
        </w:rPr>
        <w:t>9、控股和管理关系：提供直接控股和管理关系清单。若与其他供应商存在单位负责人为同一人或者存在直接控股、管理关系的，则投标无效；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10、不接受联合体投标：本项目不接受联合体投标（提供承诺书）。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西安市周至县财政局（本级）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周至县影西路4号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西安市周至县财政局（本级）经办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18302932263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陕西海源广合项目管理有限公司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陕西省西安市阎良区国家航空高技术产业基地蓝天一路 29号西安航空创新创业园研发楼301-12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刘沁园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18791025837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采购包1：2,116,800.00元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西安市周至县财政局（本级）</w:t>
      </w:r>
      <w:r>
        <w:rPr>
          <w:rFonts w:ascii="仿宋_GB2312" w:hAnsi="仿宋_GB2312" w:cs="仿宋_GB2312" w:eastAsia="仿宋_GB2312"/>
        </w:rPr>
        <w:t>和</w:t>
      </w:r>
      <w:r>
        <w:rPr>
          <w:rFonts w:ascii="仿宋_GB2312" w:hAnsi="仿宋_GB2312" w:cs="仿宋_GB2312" w:eastAsia="仿宋_GB2312"/>
        </w:rPr>
        <w:t>陕西海源广合项目管理有限公司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西安市周至县财政局（本级）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陕西海源广合项目管理有限公司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西安市周至县财政局（本级）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陕西海源广合项目管理有限公司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详细见合同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联系人：刘沁园</w:t>
      </w:r>
    </w:p>
    <w:p>
      <w:pPr>
        <w:pStyle w:val="null3"/>
      </w:pPr>
      <w:r>
        <w:rPr>
          <w:rFonts w:ascii="仿宋_GB2312" w:hAnsi="仿宋_GB2312" w:cs="仿宋_GB2312" w:eastAsia="仿宋_GB2312"/>
        </w:rPr>
        <w:t>联系电话：18791025837</w:t>
      </w:r>
    </w:p>
    <w:p>
      <w:pPr>
        <w:pStyle w:val="null3"/>
      </w:pPr>
      <w:r>
        <w:rPr>
          <w:rFonts w:ascii="仿宋_GB2312" w:hAnsi="仿宋_GB2312" w:cs="仿宋_GB2312" w:eastAsia="仿宋_GB2312"/>
        </w:rPr>
        <w:t>地址：陕西省西安市阎良区国家航空高技术产业基地蓝天一路 29号西安航空创新创业园研发楼301-12</w:t>
      </w:r>
    </w:p>
    <w:p>
      <w:pPr>
        <w:pStyle w:val="null3"/>
      </w:pPr>
      <w:r>
        <w:rPr>
          <w:rFonts w:ascii="仿宋_GB2312" w:hAnsi="仿宋_GB2312" w:cs="仿宋_GB2312" w:eastAsia="仿宋_GB2312"/>
        </w:rPr>
        <w:t>邮编： 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周至县财政专网建设和运维服务项目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2,116,800.00</w:t>
      </w:r>
    </w:p>
    <w:p>
      <w:pPr>
        <w:pStyle w:val="null3"/>
      </w:pPr>
      <w:r>
        <w:rPr>
          <w:rFonts w:ascii="仿宋_GB2312" w:hAnsi="仿宋_GB2312" w:cs="仿宋_GB2312" w:eastAsia="仿宋_GB2312"/>
        </w:rPr>
        <w:t>采购包最高限价（元）: 2,116,800.00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周至县财政专网建设和运维服务项目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2,116,800.00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标的名称：周至县财政专网建设和运维服务项目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、项目概况</w:t>
            </w:r>
          </w:p>
          <w:p>
            <w:pPr>
              <w:pStyle w:val="null3"/>
              <w:ind w:firstLine="480"/>
              <w:jc w:val="both"/>
            </w:pPr>
            <w:r>
              <w:rPr>
                <w:rFonts w:ascii="仿宋_GB2312" w:hAnsi="仿宋_GB2312" w:cs="仿宋_GB2312" w:eastAsia="仿宋_GB2312"/>
                <w:sz w:val="24"/>
              </w:rPr>
              <w:t>根据整体需求，在标准规范和安全防护体系的支撑下，建设包括一个中心节点、两个方向覆盖、多个区域防护等内容。实现财政专网数据交换要统一、网络延伸全覆盖、安全防护可管理等功能。</w:t>
            </w:r>
          </w:p>
          <w:p>
            <w:pPr>
              <w:pStyle w:val="null3"/>
              <w:jc w:val="both"/>
            </w:pPr>
            <w:r>
              <w:rPr>
                <w:rFonts w:ascii="仿宋_GB2312" w:hAnsi="仿宋_GB2312" w:cs="仿宋_GB2312" w:eastAsia="仿宋_GB2312"/>
                <w:sz w:val="24"/>
              </w:rPr>
              <w:t xml:space="preserve">   1.1</w:t>
            </w:r>
            <w:r>
              <w:rPr>
                <w:rFonts w:ascii="仿宋_GB2312" w:hAnsi="仿宋_GB2312" w:cs="仿宋_GB2312" w:eastAsia="仿宋_GB2312"/>
                <w:sz w:val="24"/>
              </w:rPr>
              <w:t>核心交换中心节点建设</w:t>
            </w:r>
          </w:p>
          <w:p>
            <w:pPr>
              <w:pStyle w:val="null3"/>
              <w:ind w:firstLine="480"/>
              <w:jc w:val="both"/>
            </w:pPr>
            <w:r>
              <w:rPr>
                <w:rFonts w:ascii="仿宋_GB2312" w:hAnsi="仿宋_GB2312" w:cs="仿宋_GB2312" w:eastAsia="仿宋_GB2312"/>
                <w:sz w:val="24"/>
              </w:rPr>
              <w:t>此次财政专网项目建设需覆盖全县所有基层财政所和预算单位，网络线路汇聚节点设备部署在网络运营商机房，机房环境必须符合国家标准及安全要求，机房供电、消防、监控等基础设施环境完备，财政专网机柜、设备、网络、综合布线独享。本项目通过购买服务方式，涉及的设备和专线均由网络运营商进行维护，减轻财政局的维护压力。</w:t>
            </w:r>
          </w:p>
          <w:p>
            <w:pPr>
              <w:pStyle w:val="null3"/>
              <w:jc w:val="both"/>
            </w:pPr>
            <w:r>
              <w:rPr>
                <w:rFonts w:ascii="仿宋_GB2312" w:hAnsi="仿宋_GB2312" w:cs="仿宋_GB2312" w:eastAsia="仿宋_GB2312"/>
                <w:sz w:val="24"/>
              </w:rPr>
              <w:t xml:space="preserve">   1.2</w:t>
            </w:r>
            <w:r>
              <w:rPr>
                <w:rFonts w:ascii="仿宋_GB2312" w:hAnsi="仿宋_GB2312" w:cs="仿宋_GB2312" w:eastAsia="仿宋_GB2312"/>
                <w:sz w:val="24"/>
              </w:rPr>
              <w:t>纵向、横向网络延伸建设</w:t>
            </w:r>
          </w:p>
          <w:p>
            <w:pPr>
              <w:pStyle w:val="null3"/>
              <w:ind w:firstLine="480"/>
              <w:jc w:val="both"/>
            </w:pPr>
            <w:r>
              <w:rPr>
                <w:rFonts w:ascii="仿宋_GB2312" w:hAnsi="仿宋_GB2312" w:cs="仿宋_GB2312" w:eastAsia="仿宋_GB2312"/>
                <w:sz w:val="24"/>
              </w:rPr>
              <w:t>此次财政专网项目建设需覆盖</w:t>
            </w:r>
            <w:r>
              <w:rPr>
                <w:rFonts w:ascii="仿宋_GB2312" w:hAnsi="仿宋_GB2312" w:cs="仿宋_GB2312" w:eastAsia="仿宋_GB2312"/>
                <w:sz w:val="24"/>
              </w:rPr>
              <w:t>约</w:t>
            </w:r>
            <w:r>
              <w:rPr>
                <w:rFonts w:ascii="仿宋_GB2312" w:hAnsi="仿宋_GB2312" w:cs="仿宋_GB2312" w:eastAsia="仿宋_GB2312"/>
                <w:sz w:val="24"/>
              </w:rPr>
              <w:t>30</w:t>
            </w:r>
            <w:r>
              <w:rPr>
                <w:rFonts w:ascii="仿宋_GB2312" w:hAnsi="仿宋_GB2312" w:cs="仿宋_GB2312" w:eastAsia="仿宋_GB2312"/>
                <w:sz w:val="24"/>
              </w:rPr>
              <w:t>0个点位，包含周至县20个基层财政所、1个财政局下属单位和2</w:t>
            </w:r>
            <w:r>
              <w:rPr>
                <w:rFonts w:ascii="仿宋_GB2312" w:hAnsi="仿宋_GB2312" w:cs="仿宋_GB2312" w:eastAsia="仿宋_GB2312"/>
                <w:sz w:val="24"/>
              </w:rPr>
              <w:t>7</w:t>
            </w:r>
            <w:r>
              <w:rPr>
                <w:rFonts w:ascii="仿宋_GB2312" w:hAnsi="仿宋_GB2312" w:cs="仿宋_GB2312" w:eastAsia="仿宋_GB2312"/>
                <w:sz w:val="24"/>
              </w:rPr>
              <w:t>9个下联预算单位。纵向上联市财政局网络，下联周至县财政局各基层财政所和1个下属单位；横向延伸周至县所有一、二级预算单位等。对于纵向财政所和下属单位、横向外联延伸网络可采用运营商STN承载网,具备可扩展性、多样性、可靠性、经济性和易维护性。</w:t>
            </w:r>
          </w:p>
          <w:p>
            <w:pPr>
              <w:pStyle w:val="null3"/>
              <w:jc w:val="both"/>
            </w:pPr>
            <w:r>
              <w:rPr>
                <w:rFonts w:ascii="仿宋_GB2312" w:hAnsi="仿宋_GB2312" w:cs="仿宋_GB2312" w:eastAsia="仿宋_GB2312"/>
                <w:sz w:val="24"/>
              </w:rPr>
              <w:t xml:space="preserve">   1.3</w:t>
            </w:r>
            <w:r>
              <w:rPr>
                <w:rFonts w:ascii="仿宋_GB2312" w:hAnsi="仿宋_GB2312" w:cs="仿宋_GB2312" w:eastAsia="仿宋_GB2312"/>
                <w:sz w:val="24"/>
              </w:rPr>
              <w:t>安全防护体系建设</w:t>
            </w:r>
          </w:p>
          <w:p>
            <w:pPr>
              <w:pStyle w:val="null3"/>
              <w:ind w:firstLine="480"/>
              <w:jc w:val="both"/>
            </w:pPr>
            <w:r>
              <w:rPr>
                <w:rFonts w:ascii="仿宋_GB2312" w:hAnsi="仿宋_GB2312" w:cs="仿宋_GB2312" w:eastAsia="仿宋_GB2312"/>
                <w:sz w:val="24"/>
              </w:rPr>
              <w:t>此次财政专网项目建设需根据安全级别和应用需求，合理划分安全区域。逻辑上包括横向网汇聚交换区、纵向网络接入区、横向预算单位网络接入区。横向网接入区实现县级各一、二级预算单位的网络接入、安全防护、应用访问服务。纵向网络接入区实现财政局基层财政所和下属单位的网络接入、安全防护、应用访问服务。</w:t>
            </w:r>
          </w:p>
          <w:p>
            <w:pPr>
              <w:pStyle w:val="null3"/>
              <w:ind w:firstLine="480"/>
              <w:jc w:val="both"/>
            </w:pPr>
            <w:r>
              <w:rPr>
                <w:rFonts w:ascii="仿宋_GB2312" w:hAnsi="仿宋_GB2312" w:cs="仿宋_GB2312" w:eastAsia="仿宋_GB2312"/>
                <w:sz w:val="24"/>
              </w:rPr>
              <w:t>2、服务要求</w:t>
            </w:r>
          </w:p>
          <w:p>
            <w:pPr>
              <w:pStyle w:val="null3"/>
              <w:ind w:firstLine="480"/>
              <w:jc w:val="both"/>
            </w:pPr>
            <w:r>
              <w:rPr>
                <w:rFonts w:ascii="仿宋_GB2312" w:hAnsi="仿宋_GB2312" w:cs="仿宋_GB2312" w:eastAsia="仿宋_GB2312"/>
                <w:sz w:val="24"/>
              </w:rPr>
              <w:t>此次财政专网项目建设需覆盖周至县</w:t>
            </w:r>
            <w:r>
              <w:rPr>
                <w:rFonts w:ascii="仿宋_GB2312" w:hAnsi="仿宋_GB2312" w:cs="仿宋_GB2312" w:eastAsia="仿宋_GB2312"/>
                <w:sz w:val="24"/>
              </w:rPr>
              <w:t>约</w:t>
            </w:r>
            <w:r>
              <w:rPr>
                <w:rFonts w:ascii="仿宋_GB2312" w:hAnsi="仿宋_GB2312" w:cs="仿宋_GB2312" w:eastAsia="仿宋_GB2312"/>
                <w:sz w:val="24"/>
              </w:rPr>
              <w:t>30</w:t>
            </w:r>
            <w:r>
              <w:rPr>
                <w:rFonts w:ascii="仿宋_GB2312" w:hAnsi="仿宋_GB2312" w:cs="仿宋_GB2312" w:eastAsia="仿宋_GB2312"/>
                <w:sz w:val="24"/>
              </w:rPr>
              <w:t>0个连接点位，上联市财政局网络，对于横向外联延伸网络和纵向网络连接均可采用STN承载网,具备可扩展性、多样性、可靠性、经济性和易维护性。由运营商提供网络服务所需的网络链路、节点路由器设备、传输设备、链路的运行维护服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网络拓扑</w:t>
            </w:r>
          </w:p>
          <w:p>
            <w:pPr>
              <w:pStyle w:val="null3"/>
              <w:ind w:firstLine="480"/>
              <w:jc w:val="both"/>
            </w:pPr>
            <w:r>
              <w:rPr>
                <w:rFonts w:ascii="仿宋_GB2312" w:hAnsi="仿宋_GB2312" w:cs="仿宋_GB2312" w:eastAsia="仿宋_GB2312"/>
                <w:sz w:val="24"/>
              </w:rPr>
              <w:t>此次财政专网项目建设需覆盖周至县</w:t>
            </w:r>
            <w:r>
              <w:rPr>
                <w:rFonts w:ascii="仿宋_GB2312" w:hAnsi="仿宋_GB2312" w:cs="仿宋_GB2312" w:eastAsia="仿宋_GB2312"/>
                <w:sz w:val="24"/>
              </w:rPr>
              <w:t>约</w:t>
            </w:r>
            <w:r>
              <w:rPr>
                <w:rFonts w:ascii="仿宋_GB2312" w:hAnsi="仿宋_GB2312" w:cs="仿宋_GB2312" w:eastAsia="仿宋_GB2312"/>
                <w:sz w:val="24"/>
              </w:rPr>
              <w:t>30</w:t>
            </w:r>
            <w:r>
              <w:rPr>
                <w:rFonts w:ascii="仿宋_GB2312" w:hAnsi="仿宋_GB2312" w:cs="仿宋_GB2312" w:eastAsia="仿宋_GB2312"/>
                <w:sz w:val="24"/>
              </w:rPr>
              <w:t>0个连接点位。远端单位通过运营商传输网络进行连接。</w:t>
            </w:r>
          </w:p>
          <w:p>
            <w:pPr>
              <w:pStyle w:val="null3"/>
              <w:ind w:firstLine="360"/>
              <w:jc w:val="both"/>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专网线路技术要求</w:t>
            </w:r>
          </w:p>
          <w:p>
            <w:pPr>
              <w:pStyle w:val="null3"/>
              <w:ind w:firstLine="480"/>
              <w:jc w:val="both"/>
            </w:pPr>
            <w:r>
              <w:rPr>
                <w:rFonts w:ascii="仿宋_GB2312" w:hAnsi="仿宋_GB2312" w:cs="仿宋_GB2312" w:eastAsia="仿宋_GB2312"/>
                <w:sz w:val="24"/>
              </w:rPr>
              <w:t>运营商提供的专用网络出口数据链路带宽，网速不受宽带使用高峰期影响，网速稳定优质。</w:t>
            </w:r>
          </w:p>
          <w:p>
            <w:pPr>
              <w:pStyle w:val="null3"/>
              <w:ind w:firstLine="480"/>
              <w:jc w:val="both"/>
            </w:pPr>
            <w:r>
              <w:rPr>
                <w:rFonts w:ascii="仿宋_GB2312" w:hAnsi="仿宋_GB2312" w:cs="仿宋_GB2312" w:eastAsia="仿宋_GB2312"/>
                <w:sz w:val="24"/>
              </w:rPr>
              <w:t>通过两个网络节点连接到骨干节点，实现高速专网接入。必须保证带宽不稀释、出口无瓶颈，在带宽</w:t>
            </w:r>
            <w:r>
              <w:rPr>
                <w:rFonts w:ascii="仿宋_GB2312" w:hAnsi="仿宋_GB2312" w:cs="仿宋_GB2312" w:eastAsia="仿宋_GB2312"/>
                <w:sz w:val="24"/>
              </w:rPr>
              <w:t xml:space="preserve">QoS和时延等方面有良好的保证。 </w:t>
            </w:r>
          </w:p>
          <w:p>
            <w:pPr>
              <w:pStyle w:val="null3"/>
              <w:ind w:firstLine="480"/>
              <w:jc w:val="both"/>
            </w:pPr>
            <w:r>
              <w:rPr>
                <w:rFonts w:ascii="仿宋_GB2312" w:hAnsi="仿宋_GB2312" w:cs="仿宋_GB2312" w:eastAsia="仿宋_GB2312"/>
                <w:sz w:val="24"/>
              </w:rPr>
              <w:t>全程网络双向链路保护，骨干、汇点物理双向双链路保护路由，保障链路中断时运营商设备自动倒换数据，对业务不造成影响。</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业务带宽规划</w:t>
            </w:r>
          </w:p>
          <w:p>
            <w:pPr>
              <w:pStyle w:val="null3"/>
              <w:ind w:firstLine="480"/>
              <w:jc w:val="both"/>
            </w:pPr>
            <w:r>
              <w:rPr>
                <w:rFonts w:ascii="仿宋_GB2312" w:hAnsi="仿宋_GB2312" w:cs="仿宋_GB2312" w:eastAsia="仿宋_GB2312"/>
                <w:sz w:val="24"/>
              </w:rPr>
              <w:t>本项目网络建设主要用于财政业务，参考现网核心业务系统（如财政结算）峰值流量，带宽预估</w:t>
            </w:r>
            <w:r>
              <w:rPr>
                <w:rFonts w:ascii="仿宋_GB2312" w:hAnsi="仿宋_GB2312" w:cs="仿宋_GB2312" w:eastAsia="仿宋_GB2312"/>
                <w:sz w:val="24"/>
              </w:rPr>
              <w:t>10M，根据业务需要灵活升降速；由于网络本身的路由协议更新、域名解析、IP报头开销等将占用3%-5%的用户带宽，此外线路还需要预留30%带宽处理突发流量，保证网络振荡过程中业务传输的稳定性，结合运营商传输技术升级等因素，规划横向网传输链路采用STN方式，考虑未来十年内的业务发展，网络出口设备上行具有GE/GE演进能力。</w:t>
            </w:r>
          </w:p>
          <w:p>
            <w:pPr>
              <w:pStyle w:val="null3"/>
              <w:ind w:firstLine="480"/>
              <w:jc w:val="both"/>
            </w:pPr>
            <w:r>
              <w:rPr>
                <w:rFonts w:ascii="仿宋_GB2312" w:hAnsi="仿宋_GB2312" w:cs="仿宋_GB2312" w:eastAsia="仿宋_GB2312"/>
                <w:sz w:val="24"/>
              </w:rPr>
              <w:t>2.4</w:t>
            </w:r>
            <w:r>
              <w:rPr>
                <w:rFonts w:ascii="仿宋_GB2312" w:hAnsi="仿宋_GB2312" w:cs="仿宋_GB2312" w:eastAsia="仿宋_GB2312"/>
                <w:sz w:val="24"/>
              </w:rPr>
              <w:t>网络运维服务</w:t>
            </w:r>
          </w:p>
          <w:p>
            <w:pPr>
              <w:pStyle w:val="null3"/>
              <w:ind w:firstLine="480"/>
              <w:jc w:val="both"/>
            </w:pPr>
            <w:r>
              <w:rPr>
                <w:rFonts w:ascii="仿宋_GB2312" w:hAnsi="仿宋_GB2312" w:cs="仿宋_GB2312" w:eastAsia="仿宋_GB2312"/>
                <w:sz w:val="24"/>
              </w:rPr>
              <w:t>专线部署服务</w:t>
            </w:r>
          </w:p>
          <w:p>
            <w:pPr>
              <w:pStyle w:val="null3"/>
              <w:ind w:firstLine="480"/>
              <w:jc w:val="both"/>
            </w:pPr>
            <w:r>
              <w:rPr>
                <w:rFonts w:ascii="仿宋_GB2312" w:hAnsi="仿宋_GB2312" w:cs="仿宋_GB2312" w:eastAsia="仿宋_GB2312"/>
                <w:sz w:val="24"/>
              </w:rPr>
              <w:t>为全县约</w:t>
            </w:r>
            <w:r>
              <w:rPr>
                <w:rFonts w:ascii="仿宋_GB2312" w:hAnsi="仿宋_GB2312" w:cs="仿宋_GB2312" w:eastAsia="仿宋_GB2312"/>
                <w:sz w:val="24"/>
              </w:rPr>
              <w:t>300家财政专网接入单位，分别配置10M本地数字电路，搭建稳定、专属的财政业务传输双通道，保障各单位财政数据交互的基础网络支撑。</w:t>
            </w:r>
          </w:p>
          <w:p>
            <w:pPr>
              <w:pStyle w:val="null3"/>
              <w:ind w:firstLine="480"/>
              <w:jc w:val="both"/>
            </w:pPr>
            <w:r>
              <w:rPr>
                <w:rFonts w:ascii="仿宋_GB2312" w:hAnsi="仿宋_GB2312" w:cs="仿宋_GB2312" w:eastAsia="仿宋_GB2312"/>
                <w:sz w:val="24"/>
              </w:rPr>
              <w:t>全链路运维保障服务</w:t>
            </w:r>
          </w:p>
          <w:p>
            <w:pPr>
              <w:pStyle w:val="null3"/>
              <w:ind w:firstLine="480"/>
              <w:jc w:val="both"/>
            </w:pPr>
            <w:r>
              <w:rPr>
                <w:rFonts w:ascii="仿宋_GB2312" w:hAnsi="仿宋_GB2312" w:cs="仿宋_GB2312" w:eastAsia="仿宋_GB2312"/>
                <w:sz w:val="24"/>
              </w:rPr>
              <w:t>承担各单位财政专网上联机房设备、光缆传输线路的巡检、故障排查与维护工作，同步负责终端财政业务系统的访问调试、运行监测及问题修复，实现从核心设备到终端应用的全链路技术支撑。</w:t>
            </w:r>
          </w:p>
          <w:p>
            <w:pPr>
              <w:pStyle w:val="null3"/>
              <w:ind w:firstLine="480"/>
              <w:jc w:val="both"/>
            </w:pPr>
            <w:r>
              <w:rPr>
                <w:rFonts w:ascii="仿宋_GB2312" w:hAnsi="仿宋_GB2312" w:cs="仿宋_GB2312" w:eastAsia="仿宋_GB2312"/>
                <w:sz w:val="24"/>
              </w:rPr>
              <w:t>网络架构优化服务</w:t>
            </w:r>
          </w:p>
          <w:p>
            <w:pPr>
              <w:pStyle w:val="null3"/>
              <w:ind w:firstLine="480"/>
              <w:jc w:val="both"/>
            </w:pPr>
            <w:r>
              <w:rPr>
                <w:rFonts w:ascii="仿宋_GB2312" w:hAnsi="仿宋_GB2312" w:cs="仿宋_GB2312" w:eastAsia="仿宋_GB2312"/>
                <w:sz w:val="24"/>
              </w:rPr>
              <w:t>基于各单位财政业务实际需求，提供财政专网系统网络架构诊断、规划与优化服务，通过合理调整网络拓扑、优化路由策略，提升专网数据传输效率与业务响应速度，保障财政业务高效运转。</w:t>
            </w:r>
          </w:p>
          <w:p>
            <w:pPr>
              <w:pStyle w:val="null3"/>
              <w:ind w:firstLine="480"/>
              <w:jc w:val="both"/>
            </w:pPr>
            <w:r>
              <w:rPr>
                <w:rFonts w:ascii="仿宋_GB2312" w:hAnsi="仿宋_GB2312" w:cs="仿宋_GB2312" w:eastAsia="仿宋_GB2312"/>
                <w:sz w:val="24"/>
              </w:rPr>
              <w:t>网络安全防护服务</w:t>
            </w:r>
          </w:p>
          <w:p>
            <w:pPr>
              <w:pStyle w:val="null3"/>
              <w:ind w:firstLine="480"/>
              <w:jc w:val="both"/>
            </w:pPr>
            <w:r>
              <w:rPr>
                <w:rFonts w:ascii="仿宋_GB2312" w:hAnsi="仿宋_GB2312" w:cs="仿宋_GB2312" w:eastAsia="仿宋_GB2312"/>
                <w:sz w:val="24"/>
              </w:rPr>
              <w:t>提供全维度网络安全运行维护服务，涵盖网络安全态势监测、漏洞扫描修复、安全策略配置优化等内容，建立常态化安全防护机制，确保财政专网及业务系统的数据安全与合规运行。</w:t>
            </w:r>
          </w:p>
          <w:p>
            <w:pPr>
              <w:pStyle w:val="null3"/>
              <w:ind w:firstLine="480"/>
              <w:jc w:val="both"/>
            </w:pPr>
            <w:r>
              <w:rPr>
                <w:rFonts w:ascii="仿宋_GB2312" w:hAnsi="仿宋_GB2312" w:cs="仿宋_GB2312" w:eastAsia="仿宋_GB2312"/>
                <w:sz w:val="24"/>
              </w:rPr>
              <w:t>专线迁移专项服务</w:t>
            </w:r>
          </w:p>
          <w:p>
            <w:pPr>
              <w:pStyle w:val="null3"/>
              <w:ind w:firstLine="480"/>
              <w:jc w:val="both"/>
            </w:pPr>
            <w:r>
              <w:rPr>
                <w:rFonts w:ascii="仿宋_GB2312" w:hAnsi="仿宋_GB2312" w:cs="仿宋_GB2312" w:eastAsia="仿宋_GB2312"/>
                <w:sz w:val="24"/>
              </w:rPr>
              <w:t>针对有专线迁移需求的财政单位，及时有效的进行现场勘测，进行迁移线路布局、设备配置及业务承载情况，定制适配的迁移方案。</w:t>
            </w:r>
          </w:p>
          <w:p>
            <w:pPr>
              <w:pStyle w:val="null3"/>
              <w:ind w:firstLine="480"/>
              <w:jc w:val="both"/>
            </w:pPr>
            <w:r>
              <w:rPr>
                <w:rFonts w:ascii="仿宋_GB2312" w:hAnsi="仿宋_GB2312" w:cs="仿宋_GB2312" w:eastAsia="仿宋_GB2312"/>
                <w:sz w:val="24"/>
              </w:rPr>
              <w:t>严格按照方案执行线路迁移，同步完成新线路铺设、机房设备调试、信号连通测试，实现新旧线路无缝切换，全程不影响财政系统正常访问与业务办理。</w:t>
            </w:r>
          </w:p>
          <w:p>
            <w:pPr>
              <w:pStyle w:val="null3"/>
              <w:ind w:firstLine="480"/>
              <w:jc w:val="both"/>
            </w:pPr>
            <w:r>
              <w:rPr>
                <w:rFonts w:ascii="仿宋_GB2312" w:hAnsi="仿宋_GB2312" w:cs="仿宋_GB2312" w:eastAsia="仿宋_GB2312"/>
                <w:sz w:val="24"/>
              </w:rPr>
              <w:t>技术支撑服务</w:t>
            </w:r>
          </w:p>
          <w:p>
            <w:pPr>
              <w:pStyle w:val="null3"/>
              <w:ind w:firstLine="480"/>
              <w:jc w:val="both"/>
            </w:pPr>
            <w:r>
              <w:rPr>
                <w:rFonts w:ascii="仿宋_GB2312" w:hAnsi="仿宋_GB2312" w:cs="仿宋_GB2312" w:eastAsia="仿宋_GB2312"/>
                <w:sz w:val="24"/>
              </w:rPr>
              <w:t>建立全天候技术响应体系，非工作时段突发故障的应急处置等全方位支撑，确保财政专网突发问题得到快速响应与解决，保障财政业务连续性。</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、服务内容</w:t>
            </w:r>
          </w:p>
          <w:p>
            <w:pPr>
              <w:pStyle w:val="null3"/>
              <w:ind w:firstLine="480"/>
              <w:jc w:val="both"/>
            </w:pPr>
            <w:r>
              <w:rPr>
                <w:rFonts w:ascii="仿宋_GB2312" w:hAnsi="仿宋_GB2312" w:cs="仿宋_GB2312" w:eastAsia="仿宋_GB2312"/>
                <w:sz w:val="24"/>
              </w:rPr>
              <w:t>为财政专网预算单位提供</w:t>
            </w:r>
            <w:r>
              <w:rPr>
                <w:rFonts w:ascii="仿宋_GB2312" w:hAnsi="仿宋_GB2312" w:cs="仿宋_GB2312" w:eastAsia="仿宋_GB2312"/>
                <w:sz w:val="24"/>
              </w:rPr>
              <w:t>1条10M本地数字电路;</w:t>
            </w:r>
          </w:p>
          <w:p>
            <w:pPr>
              <w:pStyle w:val="null3"/>
              <w:ind w:firstLine="480"/>
              <w:jc w:val="both"/>
            </w:pPr>
            <w:r>
              <w:rPr>
                <w:rFonts w:ascii="仿宋_GB2312" w:hAnsi="仿宋_GB2312" w:cs="仿宋_GB2312" w:eastAsia="仿宋_GB2312"/>
                <w:sz w:val="24"/>
              </w:rPr>
              <w:t>保障预算单位财政专网上联机房设备、光缆线路传输服务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定期对财政专网机房系统网络进行巡检，保障财政专网正常运行</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保障财政预算单位终端访问维护服务，主要为终端使用过程中各类问题的维护，维护方式包含远程技术指导及现场故障处理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保障财政预算单位使用人员变变更后培训服务，非工作时段财政专网应急响应服务。</w:t>
            </w:r>
          </w:p>
          <w:p>
            <w:pPr>
              <w:pStyle w:val="null3"/>
              <w:ind w:firstLine="480"/>
              <w:jc w:val="both"/>
            </w:pPr>
            <w:r>
              <w:rPr>
                <w:rFonts w:ascii="仿宋_GB2312" w:hAnsi="仿宋_GB2312" w:cs="仿宋_GB2312" w:eastAsia="仿宋_GB2312"/>
                <w:sz w:val="24"/>
              </w:rPr>
              <w:t>数量：</w:t>
            </w:r>
            <w:r>
              <w:rPr>
                <w:rFonts w:ascii="仿宋_GB2312" w:hAnsi="仿宋_GB2312" w:cs="仿宋_GB2312" w:eastAsia="仿宋_GB2312"/>
                <w:sz w:val="24"/>
              </w:rPr>
              <w:t>300条。</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服务期限</w:t>
            </w:r>
          </w:p>
          <w:p>
            <w:pPr>
              <w:pStyle w:val="null3"/>
              <w:ind w:firstLine="480"/>
              <w:jc w:val="both"/>
            </w:pPr>
            <w:r>
              <w:rPr>
                <w:rFonts w:ascii="仿宋_GB2312" w:hAnsi="仿宋_GB2312" w:cs="仿宋_GB2312" w:eastAsia="仿宋_GB2312"/>
                <w:sz w:val="24"/>
              </w:rPr>
              <w:t>2年（合同一年一签）</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 xml:space="preserve"> 5、其他</w:t>
            </w:r>
          </w:p>
          <w:p>
            <w:pPr>
              <w:pStyle w:val="null3"/>
              <w:ind w:firstLine="480"/>
              <w:jc w:val="both"/>
            </w:pPr>
            <w:r>
              <w:rPr>
                <w:rFonts w:ascii="仿宋_GB2312" w:hAnsi="仿宋_GB2312" w:cs="仿宋_GB2312" w:eastAsia="仿宋_GB2312"/>
                <w:sz w:val="24"/>
              </w:rPr>
              <w:t>5.1本次网络建设不更改财政局机房及上联市级原有网络结构和地址。</w:t>
            </w:r>
          </w:p>
          <w:p>
            <w:pPr>
              <w:pStyle w:val="null3"/>
              <w:ind w:firstLine="480"/>
              <w:jc w:val="both"/>
            </w:pPr>
            <w:r>
              <w:rPr>
                <w:rFonts w:ascii="仿宋_GB2312" w:hAnsi="仿宋_GB2312" w:cs="仿宋_GB2312" w:eastAsia="仿宋_GB2312"/>
                <w:sz w:val="24"/>
              </w:rPr>
              <w:t>5.2本次采购预算为1年的费用。</w:t>
            </w:r>
          </w:p>
          <w:p>
            <w:pPr>
              <w:pStyle w:val="null3"/>
              <w:ind w:firstLine="480"/>
              <w:jc w:val="both"/>
            </w:pPr>
            <w:r>
              <w:rPr>
                <w:rFonts w:ascii="仿宋_GB2312" w:hAnsi="仿宋_GB2312" w:cs="仿宋_GB2312" w:eastAsia="仿宋_GB2312"/>
                <w:sz w:val="24"/>
              </w:rPr>
              <w:t>5.3</w:t>
            </w:r>
            <w:r>
              <w:rPr>
                <w:rFonts w:ascii="仿宋_GB2312" w:hAnsi="仿宋_GB2312" w:cs="仿宋_GB2312" w:eastAsia="仿宋_GB2312"/>
                <w:sz w:val="24"/>
              </w:rPr>
              <w:t>本项目最终结算以完成的数字电路数量据实结算。</w:t>
            </w:r>
          </w:p>
          <w:p>
            <w:pPr>
              <w:pStyle w:val="null3"/>
              <w:ind w:firstLine="480"/>
              <w:jc w:val="both"/>
            </w:pPr>
            <w:r>
              <w:rPr>
                <w:rFonts w:ascii="仿宋_GB2312" w:hAnsi="仿宋_GB2312" w:cs="仿宋_GB2312" w:eastAsia="仿宋_GB2312"/>
                <w:sz w:val="24"/>
              </w:rPr>
              <w:t>6、付款方式</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数字电路接通完成后，达到付款条件</w:t>
            </w:r>
            <w:r>
              <w:rPr>
                <w:rFonts w:ascii="仿宋_GB2312" w:hAnsi="仿宋_GB2312" w:cs="仿宋_GB2312" w:eastAsia="仿宋_GB2312"/>
                <w:sz w:val="24"/>
              </w:rPr>
              <w:t>90</w:t>
            </w:r>
            <w:r>
              <w:rPr>
                <w:rFonts w:ascii="仿宋_GB2312" w:hAnsi="仿宋_GB2312" w:cs="仿宋_GB2312" w:eastAsia="仿宋_GB2312"/>
                <w:sz w:val="24"/>
              </w:rPr>
              <w:t>日内</w:t>
            </w:r>
            <w:r>
              <w:rPr>
                <w:rFonts w:ascii="仿宋_GB2312" w:hAnsi="仿宋_GB2312" w:cs="仿宋_GB2312" w:eastAsia="仿宋_GB2312"/>
                <w:sz w:val="24"/>
              </w:rPr>
              <w:t>，支付合同总金额</w:t>
            </w:r>
            <w:r>
              <w:rPr>
                <w:rFonts w:ascii="仿宋_GB2312" w:hAnsi="仿宋_GB2312" w:cs="仿宋_GB2312" w:eastAsia="仿宋_GB2312"/>
                <w:sz w:val="24"/>
              </w:rPr>
              <w:t>50%；</w:t>
            </w:r>
            <w:r>
              <w:rPr>
                <w:rFonts w:ascii="仿宋_GB2312" w:hAnsi="仿宋_GB2312" w:cs="仿宋_GB2312" w:eastAsia="仿宋_GB2312"/>
                <w:sz w:val="24"/>
              </w:rPr>
              <w:t>维护服务完成后</w:t>
            </w:r>
            <w:r>
              <w:rPr>
                <w:rFonts w:ascii="仿宋_GB2312" w:hAnsi="仿宋_GB2312" w:cs="仿宋_GB2312" w:eastAsia="仿宋_GB2312"/>
                <w:sz w:val="24"/>
              </w:rPr>
              <w:t>，</w:t>
            </w:r>
            <w:r>
              <w:rPr>
                <w:rFonts w:ascii="仿宋_GB2312" w:hAnsi="仿宋_GB2312" w:cs="仿宋_GB2312" w:eastAsia="仿宋_GB2312"/>
                <w:sz w:val="24"/>
              </w:rPr>
              <w:t>达到付款条件</w:t>
            </w:r>
            <w:r>
              <w:rPr>
                <w:rFonts w:ascii="仿宋_GB2312" w:hAnsi="仿宋_GB2312" w:cs="仿宋_GB2312" w:eastAsia="仿宋_GB2312"/>
                <w:sz w:val="24"/>
              </w:rPr>
              <w:t>90</w:t>
            </w:r>
            <w:r>
              <w:rPr>
                <w:rFonts w:ascii="仿宋_GB2312" w:hAnsi="仿宋_GB2312" w:cs="仿宋_GB2312" w:eastAsia="仿宋_GB2312"/>
                <w:sz w:val="24"/>
              </w:rPr>
              <w:t>日内</w:t>
            </w:r>
            <w:r>
              <w:rPr>
                <w:rFonts w:ascii="仿宋_GB2312" w:hAnsi="仿宋_GB2312" w:cs="仿宋_GB2312" w:eastAsia="仿宋_GB2312"/>
                <w:sz w:val="24"/>
              </w:rPr>
              <w:t>，支付合同总金额</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（具体以甲乙双方最终合同签订为准）</w:t>
            </w:r>
          </w:p>
          <w:p>
            <w:pPr>
              <w:pStyle w:val="null3"/>
              <w:jc w:val="both"/>
            </w:pPr>
            <w:r>
              <w:rPr>
                <w:rFonts w:ascii="仿宋_GB2312" w:hAnsi="仿宋_GB2312" w:cs="仿宋_GB2312" w:eastAsia="仿宋_GB2312"/>
                <w:sz w:val="21"/>
              </w:rPr>
              <w:t xml:space="preserve">   </w:t>
            </w:r>
          </w:p>
          <w:p>
            <w:pPr>
              <w:pStyle w:val="null3"/>
              <w:ind w:firstLine="480"/>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符合本次项目实施要求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符合本次项目实施要求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符合国家及行业相关法律法规标准要求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数字电路接通完成后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维护服务完成后</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详细见合同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提供法定代表人授权书（附法定代表人、被授权人身份证复印件）及被授权人身份证复印件 （法定代表人直接参加投标，须提供法定代表人身份证明及身份证复印件）；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提供投标截止日前近一年内至少一个月的纳税证明或完税证明，依法免税的单位应提供相关证明材料；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提供投标截止日前近一年内至少一个月的社会保障资金缴存单据或社保机构开具的社会保险参保缴费情况证明，依法不需要缴纳社会保障资金的单位应提供相关证明材料；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失信证明</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专业说明</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控股和管理关系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按照投标文件格式要求进行签署盖章</w:t>
            </w:r>
          </w:p>
        </w:tc>
        <w:tc>
          <w:tcPr>
            <w:tcW w:type="dxa" w:w="1661"/>
          </w:tcPr>
          <w:p>
            <w:pPr>
              <w:pStyle w:val="null3"/>
            </w:pPr>
            <w:r>
              <w:rPr>
                <w:rFonts w:ascii="仿宋_GB2312" w:hAnsi="仿宋_GB2312" w:cs="仿宋_GB2312" w:eastAsia="仿宋_GB2312"/>
              </w:rPr>
              <w:t>服务方案说明书.docx 开标一览表 业绩一览表.docx 服务内容及服务邀请应答表 中小企业声明函 商务应答表 分项报价表.docx 供应商应提交的相关资格证明材料.docx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符合“投标响应文件格式” 的规定</w:t>
            </w:r>
          </w:p>
        </w:tc>
        <w:tc>
          <w:tcPr>
            <w:tcW w:type="dxa" w:w="1661"/>
          </w:tcPr>
          <w:p>
            <w:pPr>
              <w:pStyle w:val="null3"/>
            </w:pPr>
            <w:r>
              <w:rPr>
                <w:rFonts w:ascii="仿宋_GB2312" w:hAnsi="仿宋_GB2312" w:cs="仿宋_GB2312" w:eastAsia="仿宋_GB2312"/>
              </w:rPr>
              <w:t>服务方案说明书.docx 开标一览表 业绩一览表.docx 服务内容及服务邀请应答表 中小企业声明函 商务应答表 分项报价表.docx 供应商应提交的相关资格证明材料.docx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 且报价不超过最高限价</w:t>
            </w:r>
          </w:p>
        </w:tc>
        <w:tc>
          <w:tcPr>
            <w:tcW w:type="dxa" w:w="1661"/>
          </w:tcPr>
          <w:p>
            <w:pPr>
              <w:pStyle w:val="null3"/>
            </w:pPr>
            <w:r>
              <w:rPr>
                <w:rFonts w:ascii="仿宋_GB2312" w:hAnsi="仿宋_GB2312" w:cs="仿宋_GB2312" w:eastAsia="仿宋_GB2312"/>
              </w:rPr>
              <w:t>分项报价表.docx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符合投标文件要求</w:t>
            </w:r>
          </w:p>
        </w:tc>
        <w:tc>
          <w:tcPr>
            <w:tcW w:type="dxa" w:w="1661"/>
          </w:tcPr>
          <w:p>
            <w:pPr>
              <w:pStyle w:val="null3"/>
            </w:pPr>
            <w:r>
              <w:rPr>
                <w:rFonts w:ascii="仿宋_GB2312" w:hAnsi="仿宋_GB2312" w:cs="仿宋_GB2312" w:eastAsia="仿宋_GB2312"/>
              </w:rPr>
              <w:t>分项报价表.docx 投标函 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符合投标文件要求</w:t>
            </w:r>
          </w:p>
        </w:tc>
        <w:tc>
          <w:tcPr>
            <w:tcW w:type="dxa" w:w="1661"/>
          </w:tcPr>
          <w:p>
            <w:pPr>
              <w:pStyle w:val="null3"/>
            </w:pPr>
            <w:r>
              <w:rPr>
                <w:rFonts w:ascii="仿宋_GB2312" w:hAnsi="仿宋_GB2312" w:cs="仿宋_GB2312" w:eastAsia="仿宋_GB2312"/>
              </w:rPr>
              <w:t>分项报价表.docx 投标函 商务应答表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一、评审内容 根据本项目特点需求分析，包括：①项目背景及政策了解和分析及现状概况 ；②工作内容理解与分析；③本项目重点难点分析并提出解决措施。 二、评审标准1.完整性及针对性：内容须全面，对评审内容中的各项要求有详细描述，方案能够紧扣项目实际情况，内容科学合理。2.可实施性：切合本项目实际情况，提出步骤清晰、合理的方案；3.针对性：方案能够紧扣项目实际情况，内容科学合理；4.缺项或项目论述出现严重的错误，该项得0分。 三、赋分标准 ①项目背景及政策了解和分析及现状概况 每完全满足一项评审标准得1分，满分3分；②工作内容理解与分析：每完全满足一项评审标准得1分，满分3分。③本项目重点难点分析并提出解决措施：每完全满足一项评审标准得1分，满分3分。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投标人针对本项目实际需求及特点制定服务保障方案，包含：①服务工作相关保障制度；②技术、设施设备保障措施及承诺；③项目组织及进度保障。 二、评审标准 1.完整性：内容须全面，对评审内容中的各项要求有详细描述；2.可实施性：切合本项目实际情况，实施步骤清晰、合理；3.针对性：方案能够紧扣项目实际情况，内容科学合理。4.缺项或项目论述出现严重的错误，该项得0分。三、赋分标准①服务工作相关保障制度：每完全满足一项评审标准得1分，满分3分；②技术、设施设备保障措施及承诺：每完全满足一项评审标准得1分，满分3分；③项目组织及进度保障：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投标人针对本项目实际需求及特点提供人员配置方案，包含：①组织机构框架及人员配备数量；②岗位职责及人员培训方案。二、评审标准 1.完整性：内容须全面，对评审内容中的各项要求有详细描述，方案能够紧扣项目实际情况，内容科学合理。2.可实施性：切合本项目实际情况，提出步骤清晰、合理的方案。3.针对性：方案能够紧扣项目实际情况；4.缺项或项目论述出现严重的错误，该项得0分。 三、赋分标准 ①组织机构框架及人员配备数量：每完全满足一项评审标准得1分，满分3分；②岗位职责及人员培训方案：每完全满足一项评审标准得1分，满分3分；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项目负责人及技术人员专业能力</w:t>
            </w:r>
          </w:p>
        </w:tc>
        <w:tc>
          <w:tcPr>
            <w:tcW w:type="dxa" w:w="2492"/>
          </w:tcPr>
          <w:p>
            <w:pPr>
              <w:pStyle w:val="null3"/>
            </w:pPr>
            <w:r>
              <w:rPr>
                <w:rFonts w:ascii="仿宋_GB2312" w:hAnsi="仿宋_GB2312" w:cs="仿宋_GB2312" w:eastAsia="仿宋_GB2312"/>
              </w:rPr>
              <w:t>项目负责人具有高级工程师得1分；技术人员具有工程师职称证书，每提供一个得1分，满分4分。（以上人员相关证件需提供证书复印件并加盖投标人公章，同时提供持证人员自2025年1月1日以来任意一个月在本单位的社保缴纳证明文件复印件并加盖投标人公章，未提供相关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投标人针对本项目实际情况提供应急预案，应急预案包含：①应急预案详述②应急工作流程及应急措施。二、评审标准 1.完整性：内容须全面，对评审内容中的各项要求有详细描述，方案能够紧扣项目实际情况，内容科学合理。2.可实施性：切合本项目实际情况，提出步骤清晰、合理的方案。3.针对性：方案能够紧扣项目实际情况；4.缺项或项目论述出现严重的错误，该项得0分。三、赋分标准 ①应急预案详述：每完全满足一项评审标准得1分，满分3分；②应急工作流程及应急措施：每完全满足一项评审标准得1分，满分3分。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投标人针对本项目提供保密方案，保密方案包含：①保密制度及措施②保密实施方案及保密承诺。 二、评审标准 1.完整性及针对性：内容须全面，对评审内容中的各项要求有详细描述，方案能够紧扣项目实际情况，内容科学合理。2.可实施性：切合本项目实际情况，提出步骤清晰、合理的方案；3.针对性：方案能够紧扣项目实际情况；4.缺项或项目论述出现严重的错误，该项得0分。三、赋分标准 ①保密制度及措施：每完全满足一项评审标准得1分，满分3分；②保密实施方案及保密承诺：每完全满足一项评审标准得1分，满分3分。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一、评审内容 投标人针对本项目实际需求及特点制定管理方案，管理方案包含①人员管理；②信息安全管理；③激励措施；④岗前培训管理。 二、评审标准 1.完整性：内容须全面，对评审内容中的各项要求有详细描述；2.可实施性：切合本项目实际情况，实施步骤清晰、合理；3.针对性：方案能够紧扣项目实际情况，内容科学合理。4.缺项或项目论述出现严重的错误，该项得0分。三、赋分标准 ①人员管理：每完全满足一项评审标准得1分，满分3分；②信息安全管理：每完全满足一项评审标准得1分，满分3分；③激励措施：每完全满足一项评审标准得1分，满分3分。④岗前培训管理：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投标人针对本项目实际需求及特点制定服务方案，服务方案包含：①总体工作思路及工作计划；②专线宽带服务及网络点位变动服务方案；③网络升级服务方案；④网络维护服务方案。二、评审标准1.完整性：内容须全面，对评审内容中的各项要求有详细描述；2.可实施性：切合本项目实际情况，实施步骤清晰、合理；3.针对性：方案能够紧扣项目实际情况，内容科学合理；4.缺项或项目论述出现严重的错误，该项得0分。三、赋分标准①总体工作思路及工作计划：每完全满足一项评审标准得1分，满分3分；②专线宽带服务及网络点位变动服务方案：每完全满足一项评审标准得1分，满分3分；③网络升级服务方案：每完全满足一项评审标准得1分，满分3分；④网络维护服务方案：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合理化建议和增值服务</w:t>
            </w:r>
          </w:p>
        </w:tc>
        <w:tc>
          <w:tcPr>
            <w:tcW w:type="dxa" w:w="2492"/>
          </w:tcPr>
          <w:p>
            <w:pPr>
              <w:pStyle w:val="null3"/>
            </w:pPr>
            <w:r>
              <w:rPr>
                <w:rFonts w:ascii="仿宋_GB2312" w:hAnsi="仿宋_GB2312" w:cs="仿宋_GB2312" w:eastAsia="仿宋_GB2312"/>
              </w:rPr>
              <w:t>一、评审内容 投标人针对本项目提供合理化建议和增值服务，包含：①针对本项目的合理化建议及能提供的增值服务。二、评审标准 1.完整性：内容须全面，对评审内容中的各项要求有详细描述；2.可实施性：切合本项目实际情况，实施步骤清晰、合理；3.针对性：方案能够紧扣项目实际情况，内容科学合理。4.缺项或项目论述出现严重的错误，该项得0分。 三、赋分标准①针对本项目的合理化建议及能提供的增值服务：每完全满足一项评审标准得1分，满分3分。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投标人针对本项目提供售后服务，售后服务包含：①售后服务内容及服务质量保证；②服务响应时间及方式；③技术支持体系、运维服务和保障能力；④具备完善的本地化服务能力。二、评审标准 1.完整性：内容须全面，对评审内容中的各项要求有详细描述，方案能够紧扣项目实际情况，内容科学合理。2.可实施性：切合本项目实际情况，提出步骤清晰、合理的方案；3.针对性：方案能够紧扣项目实际情况；4.缺项或项目论述出现严重的错误，该项得0分。三、赋分标准 ①售后服务内容及服务质量保证：每完全满足一项评审标准得1分，满分3分；②服务响应时间及方式：每完全满足一项评审标准得1分，满分3分；③技术支持体系、运维服务和保障能力：每完全满足一项评审标准得1分，满分3分。④具备完善的本地化服务能力：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投标人提供2023年1月1日至今类似项目的业绩证明文件（以合同签订之日为准），每提供一份业绩证明文件得2分，满分10分。（须提供完整合同复印件并加盖投标人公章，否则不计分）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满足投标文件要求且投标价格最低的投标报价为评标基准价，其价格分为满分。价格分按照下列公式计算。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详见附件：服务方案说明书.docx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