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版本号：HXCG2026-03-0120260327001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周至县黑河平原段终富桥(L24+009-L24+094段)丁坝水毁修复工程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HXCG2026-03-01</w:t>
      </w:r>
      <w:r>
        <w:br/>
      </w:r>
      <w:r>
        <w:br/>
      </w:r>
      <w:r>
        <w:br/>
      </w:r>
    </w:p>
    <w:p>
      <w:pPr>
        <w:pStyle w:val="null3"/>
        <w:jc w:val="center"/>
        <w:outlineLvl w:val="2"/>
      </w:pPr>
      <w:r>
        <w:rPr>
          <w:rFonts w:ascii="仿宋_GB2312" w:hAnsi="仿宋_GB2312" w:cs="仿宋_GB2312" w:eastAsia="仿宋_GB2312"/>
          <w:sz w:val="28"/>
          <w:b/>
        </w:rPr>
        <w:t>西安市周至县引汉济渭（黑河治理）办公室</w:t>
      </w:r>
    </w:p>
    <w:p>
      <w:pPr>
        <w:pStyle w:val="null3"/>
        <w:jc w:val="center"/>
        <w:outlineLvl w:val="2"/>
      </w:pPr>
      <w:r>
        <w:rPr>
          <w:rFonts w:ascii="仿宋_GB2312" w:hAnsi="仿宋_GB2312" w:cs="仿宋_GB2312" w:eastAsia="仿宋_GB2312"/>
          <w:sz w:val="28"/>
          <w:b/>
        </w:rPr>
        <w:t>横信项目管理有限公司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横信项目管理有限公司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西安市周至县引汉济渭（黑河治理）办公室</w:t>
      </w:r>
      <w:r>
        <w:rPr>
          <w:rFonts w:ascii="仿宋_GB2312" w:hAnsi="仿宋_GB2312" w:cs="仿宋_GB2312" w:eastAsia="仿宋_GB2312"/>
        </w:rPr>
        <w:t>委托，拟对</w:t>
      </w:r>
      <w:r>
        <w:rPr>
          <w:rFonts w:ascii="仿宋_GB2312" w:hAnsi="仿宋_GB2312" w:cs="仿宋_GB2312" w:eastAsia="仿宋_GB2312"/>
        </w:rPr>
        <w:t>周至县黑河平原段终富桥(L24+009-L24+094段)丁坝水毁修复工程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HXCG2026-03-01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周至县黑河平原段终富桥(L24+009-L24+094段)丁坝水毁修复工程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周至县黑河平原段终富桥(L24+009-L24+094段)丁坝水毁修复工程位于终富桥上游左岸250m处，本次修复丁坝2座，治理护坡长度85m。（具体详见竞争性磋商文件、图纸及工程量清单）。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采购包1（周至县黑河平原段终富桥(L24+009-L24+094段)丁坝水毁修复工程）：属于专门面向中小企业采购。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p>
      <w:pPr>
        <w:pStyle w:val="null3"/>
      </w:pPr>
      <w:r>
        <w:rPr>
          <w:rFonts w:ascii="仿宋_GB2312" w:hAnsi="仿宋_GB2312" w:cs="仿宋_GB2312" w:eastAsia="仿宋_GB2312"/>
        </w:rPr>
        <w:t>2、供应商授权合法的人员参加投标全过程：法定代表人直接参加投标的须出具法定代表人身份证明及法定代表人身份证；法定代表人授权代表参加投标的须出具法定代表人授权书及授权代表身份证；</w:t>
      </w:r>
    </w:p>
    <w:p>
      <w:pPr>
        <w:pStyle w:val="null3"/>
      </w:pPr>
      <w:r>
        <w:rPr>
          <w:rFonts w:ascii="仿宋_GB2312" w:hAnsi="仿宋_GB2312" w:cs="仿宋_GB2312" w:eastAsia="仿宋_GB2312"/>
        </w:rPr>
        <w:t>3、企业资质：供应商企业应具备水利水电工程施工总承包三级（含三级）以上资质，具有建设行政主管部门颁发的安全生产许可证；</w:t>
      </w:r>
    </w:p>
    <w:p>
      <w:pPr>
        <w:pStyle w:val="null3"/>
      </w:pPr>
      <w:r>
        <w:rPr>
          <w:rFonts w:ascii="仿宋_GB2312" w:hAnsi="仿宋_GB2312" w:cs="仿宋_GB2312" w:eastAsia="仿宋_GB2312"/>
        </w:rPr>
        <w:t>4、项目经理资质和专业要求：项目经理资质和专业要求：具有水利水电工程专业二级（含二级）以上建造师注册证书及水利行政主管部门颁发的安全生产考核合格证，在本单位注册，且无在建工程（提供承诺书）；</w:t>
      </w:r>
    </w:p>
    <w:p>
      <w:pPr>
        <w:pStyle w:val="null3"/>
      </w:pPr>
      <w:r>
        <w:rPr>
          <w:rFonts w:ascii="仿宋_GB2312" w:hAnsi="仿宋_GB2312" w:cs="仿宋_GB2312" w:eastAsia="仿宋_GB2312"/>
        </w:rPr>
        <w:t>5、专职安全员：专职安全员：具有水利行政主管部门颁发的安全生产考核合格证；</w:t>
      </w:r>
    </w:p>
    <w:p>
      <w:pPr>
        <w:pStyle w:val="null3"/>
      </w:pPr>
      <w:r>
        <w:rPr>
          <w:rFonts w:ascii="仿宋_GB2312" w:hAnsi="仿宋_GB2312" w:cs="仿宋_GB2312" w:eastAsia="仿宋_GB2312"/>
        </w:rPr>
        <w:t>6、财务状况报告：提供2024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p>
      <w:pPr>
        <w:pStyle w:val="null3"/>
      </w:pPr>
      <w:r>
        <w:rPr>
          <w:rFonts w:ascii="仿宋_GB2312" w:hAnsi="仿宋_GB2312" w:cs="仿宋_GB2312" w:eastAsia="仿宋_GB2312"/>
        </w:rPr>
        <w:t>7、税收缴纳证明：提供2025年1月1日至今已缴纳的至少一个月的纳税证明或完税证明，依法免税的单位应提供相关证明材料；</w:t>
      </w:r>
    </w:p>
    <w:p>
      <w:pPr>
        <w:pStyle w:val="null3"/>
      </w:pPr>
      <w:r>
        <w:rPr>
          <w:rFonts w:ascii="仿宋_GB2312" w:hAnsi="仿宋_GB2312" w:cs="仿宋_GB2312" w:eastAsia="仿宋_GB2312"/>
        </w:rPr>
        <w:t>8、社会保障资金缴纳证明：提供2025年1月1日至今已缴存的至少一个月的社会保障资金缴存单据或社保机构开具的社会保险参保缴费情况证明，依法不需要缴纳社会保障资金的单位应提供相关证明材料；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9、信用记录：供应商不得为“信用中国”网站（www.creditchina.gov.cn）中列入失信被执行人和重大税收违法案件当事人名单，不得为中国政府采购网（www.ccgp.gov.cn）政府采购严重违法失信行为记录名单；</w:t>
      </w:r>
    </w:p>
    <w:p>
      <w:pPr>
        <w:pStyle w:val="null3"/>
      </w:pPr>
      <w:r>
        <w:rPr>
          <w:rFonts w:ascii="仿宋_GB2312" w:hAnsi="仿宋_GB2312" w:cs="仿宋_GB2312" w:eastAsia="仿宋_GB2312"/>
        </w:rPr>
        <w:t>10、参加政府采购活动前3年内，在经营活动中没有重大违法记录：参加政府采购活动前三年内在经营活动中没有重大违法记录的书面承诺；</w:t>
      </w:r>
    </w:p>
    <w:p>
      <w:pPr>
        <w:pStyle w:val="null3"/>
      </w:pPr>
      <w:r>
        <w:rPr>
          <w:rFonts w:ascii="仿宋_GB2312" w:hAnsi="仿宋_GB2312" w:cs="仿宋_GB2312" w:eastAsia="仿宋_GB2312"/>
        </w:rPr>
        <w:t>11、本项目不接受联合体磋商：本项目不接受联合体磋商，提供书面承诺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西安市周至县引汉济渭（黑河治理）办公室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周至县楼观镇肖里村（老环山路东）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029-85180652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横信项目管理有限公司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陕西省西安市经济技术开发区凤城十二路与文景路交汇处首创国际城八期64栋楼307室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18091783671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采购包1：1,155,336.99元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代理服务费收费标准：代理服务费金额按照“ 国家计委关于印发《招标代理服务收费管理暂行办法的通知》（计价格【2002】1980号）”文中规定的收费标准下浮2%向采购代理机构一次性全额支付。</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西安市周至县引汉济渭（黑河治理）办公室</w:t>
      </w:r>
      <w:r>
        <w:rPr>
          <w:rFonts w:ascii="仿宋_GB2312" w:hAnsi="仿宋_GB2312" w:cs="仿宋_GB2312" w:eastAsia="仿宋_GB2312"/>
        </w:rPr>
        <w:t>和</w:t>
      </w:r>
      <w:r>
        <w:rPr>
          <w:rFonts w:ascii="仿宋_GB2312" w:hAnsi="仿宋_GB2312" w:cs="仿宋_GB2312" w:eastAsia="仿宋_GB2312"/>
        </w:rPr>
        <w:t>横信项目管理有限公司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西安市周至县引汉济渭（黑河治理）办公室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横信项目管理有限公司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西安市周至县引汉济渭（黑河治理）办公室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横信项目管理有限公司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横信项目管理有限公司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横信项目管理有限公司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联系人：于工</w:t>
      </w:r>
    </w:p>
    <w:p>
      <w:pPr>
        <w:pStyle w:val="null3"/>
      </w:pPr>
      <w:r>
        <w:rPr>
          <w:rFonts w:ascii="仿宋_GB2312" w:hAnsi="仿宋_GB2312" w:cs="仿宋_GB2312" w:eastAsia="仿宋_GB2312"/>
        </w:rPr>
        <w:t>联系电话：18091783671</w:t>
      </w:r>
    </w:p>
    <w:p>
      <w:pPr>
        <w:pStyle w:val="null3"/>
      </w:pPr>
      <w:r>
        <w:rPr>
          <w:rFonts w:ascii="仿宋_GB2312" w:hAnsi="仿宋_GB2312" w:cs="仿宋_GB2312" w:eastAsia="仿宋_GB2312"/>
        </w:rPr>
        <w:t>地址：陕西省西安市经济技术开发区凤城十二路与文景路交汇处首创国际城八期64栋楼307室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1,155,336.99</w:t>
      </w:r>
    </w:p>
    <w:p>
      <w:pPr>
        <w:pStyle w:val="null3"/>
      </w:pPr>
      <w:r>
        <w:rPr>
          <w:rFonts w:ascii="仿宋_GB2312" w:hAnsi="仿宋_GB2312" w:cs="仿宋_GB2312" w:eastAsia="仿宋_GB2312"/>
        </w:rPr>
        <w:t>采购包最高限价（元）: 1,102,434.74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工程施工</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1,155,336.99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rPr>
              <w:t>详见附件</w:t>
            </w:r>
            <w:r>
              <w:rPr>
                <w:rFonts w:ascii="仿宋_GB2312" w:hAnsi="仿宋_GB2312" w:cs="仿宋_GB2312" w:eastAsia="仿宋_GB2312"/>
                <w:sz w:val="19"/>
              </w:rPr>
              <w:t>“工程量清单及图纸”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1.本项目工期：50日历天。 2.磋商最后报价，采购内容无实质性变更的情况，不得超过第一次磋商报价，各供应商最后报价中所有报价 (与最后磋商报价比例一致) 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企业法人提供营业执照、组织机构代码证、税务登记证（或统一社会信用代码的营业执照）；事业法人应提供事业单位法人证；其他组织应提供合法证明文件；自然人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法定代表人直接参加投标的须出具法定代表人身份证明及法定代表人身份证；法定代表人授权代表参加投标的须出具法定代表人授权书及授权代表身份证；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授权委托书.docx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供应商企业应具备水利水电工程施工总承包三级（含三级）以上资质，具有建设行政主管部门颁发的安全生产许可证；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项目经理资质和专业要求</w:t>
            </w:r>
          </w:p>
        </w:tc>
        <w:tc>
          <w:tcPr>
            <w:tcW w:type="dxa" w:w="3322"/>
          </w:tcPr>
          <w:p>
            <w:pPr>
              <w:pStyle w:val="null3"/>
            </w:pPr>
            <w:r>
              <w:rPr>
                <w:rFonts w:ascii="仿宋_GB2312" w:hAnsi="仿宋_GB2312" w:cs="仿宋_GB2312" w:eastAsia="仿宋_GB2312"/>
              </w:rPr>
              <w:t>项目经理资质和专业要求：具有水利水电工程专业二级（含二级）以上建造师注册证书及水利行政主管部门颁发的安全生产考核合格证，在本单位注册，且无在建工程（提供承诺书）；</w:t>
            </w:r>
          </w:p>
        </w:tc>
        <w:tc>
          <w:tcPr>
            <w:tcW w:type="dxa" w:w="1661"/>
          </w:tcPr>
          <w:p>
            <w:pPr>
              <w:pStyle w:val="null3"/>
            </w:pPr>
            <w:r>
              <w:rPr>
                <w:rFonts w:ascii="仿宋_GB2312" w:hAnsi="仿宋_GB2312" w:cs="仿宋_GB2312" w:eastAsia="仿宋_GB2312"/>
              </w:rPr>
              <w:t>项目管理机构组成表 供应商应提交的相关资格证明材料 无在建承诺书.docx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专职安全员</w:t>
            </w:r>
          </w:p>
        </w:tc>
        <w:tc>
          <w:tcPr>
            <w:tcW w:type="dxa" w:w="3322"/>
          </w:tcPr>
          <w:p>
            <w:pPr>
              <w:pStyle w:val="null3"/>
            </w:pPr>
            <w:r>
              <w:rPr>
                <w:rFonts w:ascii="仿宋_GB2312" w:hAnsi="仿宋_GB2312" w:cs="仿宋_GB2312" w:eastAsia="仿宋_GB2312"/>
              </w:rPr>
              <w:t>专职安全员：具有水利行政主管部门颁发的安全生产考核合格证；</w:t>
            </w:r>
          </w:p>
        </w:tc>
        <w:tc>
          <w:tcPr>
            <w:tcW w:type="dxa" w:w="1661"/>
          </w:tcPr>
          <w:p>
            <w:pPr>
              <w:pStyle w:val="null3"/>
            </w:pPr>
            <w:r>
              <w:rPr>
                <w:rFonts w:ascii="仿宋_GB2312" w:hAnsi="仿宋_GB2312" w:cs="仿宋_GB2312" w:eastAsia="仿宋_GB2312"/>
              </w:rPr>
              <w:t>项目管理机构组成表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财务会计报告（至少包括资产负债表和利润表，成立时间至提交首次响应文件截止时间不足一年的可提供成立后任意时段的资产负债表），或开标前三个月内基本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供应商不得为“信用中国”网站（www.creditchina.gov.cn）中列入失信被执行人和重大税收违法案件当事人名单，不得为中国政府采购网（www.ccgp.gov.cn）政府采购严重违法失信行为记录名单；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本项目不接受联合体磋商，提供书面承诺</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至少以下三处的项目名称、项目编号与本项目 完全一致： （1）竞争性磋商响应文件封面 （2）响应函 （3）授权委托书\身份证明</w:t>
            </w:r>
          </w:p>
        </w:tc>
        <w:tc>
          <w:tcPr>
            <w:tcW w:type="dxa" w:w="1661"/>
          </w:tcPr>
          <w:p>
            <w:pPr>
              <w:pStyle w:val="null3"/>
            </w:pPr>
            <w:r>
              <w:rPr>
                <w:rFonts w:ascii="仿宋_GB2312" w:hAnsi="仿宋_GB2312" w:cs="仿宋_GB2312" w:eastAsia="仿宋_GB2312"/>
              </w:rPr>
              <w:t>响应文件封面 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 磋商文件要求 （2）报价符合唯一性要求 （3）未超出采购预算或最高限价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授权委托书.docx 技术服务合同条款及其他商务要求应答表 供应商应提交的相关资格证明材料 施工组织设计.docx 强制优先采购产品承诺函 响应文件封面 项目管理机构组成表 供应商认为有必要补充说明的事项.docx 残疾人福利性单位声明函 报价函 标的清单 供应商类似项目业绩一览表 无在建承诺书.docx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施工部署及总平面布置</w:t>
            </w:r>
          </w:p>
        </w:tc>
        <w:tc>
          <w:tcPr>
            <w:tcW w:type="dxa" w:w="2492"/>
          </w:tcPr>
          <w:p>
            <w:pPr>
              <w:pStyle w:val="null3"/>
            </w:pPr>
            <w:r>
              <w:rPr>
                <w:rFonts w:ascii="仿宋_GB2312" w:hAnsi="仿宋_GB2312" w:cs="仿宋_GB2312" w:eastAsia="仿宋_GB2312"/>
              </w:rPr>
              <w:t>根据本项目工程特点施工部署及总平面布置的评审内容包括但不限于：①施工总平面布置；②施工分区与分段；③施工总体思路与顺序，对本项目水毁修复工程现场条件、水文条件、施工难点、护岸结构特点理解等。 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根据本项目工程特点施工方案及技术措施的评审内容包括但不限于：①施工准备和施工方案；②施工次序及相关技术措施；③工程重难点分析及解决措施；④施工质量通病防治措施等。以上内容专门针对本项目且符合本项目实际需求的得10分，每项有缺陷或者内容非针对于本项目的扣1分，扣完为止。缺陷是指：施工方案中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需求、针对性不强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根据本项目工程特点质量管理体系与措施的评审内容包括但不限于：①质量管理工作流程；②工程质量保障方案；③工程质量控制体系；④材料和构配件的质量控制等；⑤施工检测及工序交验方案等。 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根据本项目工程特点安全管理体系与措施的评审内容应包括但不限于：①安全管理体系及应急预案；②临水作业防护、汛期安全措施；③安全施工保证措施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根据本项目编制工程进度措施的评审内容应包括但不限于：①施工进度计划；②施工工期保证措施等。以上内容专门针对本项目且符合本项目实际需求的得5分，每项有缺陷或者内容非针对于本项目的扣1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项目组织机构健全，所配备项目经理有1项类似项目业绩（近三年2023 年3月1日至今）的得 2 分；1.以合同协议书复印件或扫描件为准。 2.时间以合同协议书签订时间为准），最高得2分； 除项目经理外，提供施工员、材料员、资料员的职业培训合格证书（提供有效证书复印件及身份证复印件并加盖供应商公章），每提供 1人得 1 分，最高得3分。 注：企业业绩与项目经理业绩可同时赋分，未提供者不得分，本项共5分。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根据本项目工程特点资源配备计划的评审内容应包括但不限于：①设备配备计划满足施工要求；②劳动力配备；③资金配备；④监测检查仪器设备配置满足要求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文明工地建设及环境保护措施</w:t>
            </w:r>
          </w:p>
        </w:tc>
        <w:tc>
          <w:tcPr>
            <w:tcW w:type="dxa" w:w="2492"/>
          </w:tcPr>
          <w:p>
            <w:pPr>
              <w:pStyle w:val="null3"/>
            </w:pPr>
            <w:r>
              <w:rPr>
                <w:rFonts w:ascii="仿宋_GB2312" w:hAnsi="仿宋_GB2312" w:cs="仿宋_GB2312" w:eastAsia="仿宋_GB2312"/>
              </w:rPr>
              <w:t>根据本项目工程特点文明工地建设及环境保护措施针的评审内容应包括但不限于：①文明施工及环境保护管理体系；②水土保持、水体保护措施；③环境保护措施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事故应急预案</w:t>
            </w:r>
          </w:p>
        </w:tc>
        <w:tc>
          <w:tcPr>
            <w:tcW w:type="dxa" w:w="2492"/>
          </w:tcPr>
          <w:p>
            <w:pPr>
              <w:pStyle w:val="null3"/>
            </w:pPr>
            <w:r>
              <w:rPr>
                <w:rFonts w:ascii="仿宋_GB2312" w:hAnsi="仿宋_GB2312" w:cs="仿宋_GB2312" w:eastAsia="仿宋_GB2312"/>
              </w:rPr>
              <w:t>根据本项目工程特点项目事故应急预案的评审内容应包括但不限于：①项目风险预测与防范措施；②对突发事件的应急预案；③现场事故处理方案等。以上内容专门针对本项目且符合本项目实际需求的得5分，每项有缺陷或者内容非针对于本项目的扣0.5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近三年（2023 年3月1日至今）有类似项目业绩，每有1项得 2 分，最多得 10 分。 注：1.以合同协议书复印件或扫描件为准。 2.时间以合同协议书签订时间为准。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工程质量承诺</w:t>
            </w:r>
          </w:p>
        </w:tc>
        <w:tc>
          <w:tcPr>
            <w:tcW w:type="dxa" w:w="2492"/>
          </w:tcPr>
          <w:p>
            <w:pPr>
              <w:pStyle w:val="null3"/>
            </w:pPr>
            <w:r>
              <w:rPr>
                <w:rFonts w:ascii="仿宋_GB2312" w:hAnsi="仿宋_GB2312" w:cs="仿宋_GB2312" w:eastAsia="仿宋_GB2312"/>
              </w:rPr>
              <w:t>工程质量承诺的评审内容应包括但不限于：①工程质量技术保证措施；②项目完工后工程质保期内的保修服务承诺；③工程竣工验收合格后使用过程中因质量问题而产生的补救措施、响应时间；④质量目标管理体系及质量的检验制度等。以上内容专门针对本项目且符合本项目实际需求的得10分，每项有缺陷或者内容非针对于本项目的扣1分，扣完为止。缺陷是指:对同一问题前后表述矛盾的，或逻辑错误的，或缺少关键节点，或涉及的规范及标准错误，或表述内容不完整，或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 的供应商的价格为磋商基准价，其价格得分为满分。其他供应商的价 格得分统一按照下列公式计算： 磋商报价得分=（磋商基准价/最终磋商报价） ×价格权值（30%）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详见附件：无在建承诺书.docx</w:t>
      </w:r>
    </w:p>
    <w:p>
      <w:pPr>
        <w:pStyle w:val="null3"/>
        <w:ind w:firstLine="960"/>
      </w:pPr>
      <w:r>
        <w:rPr>
          <w:rFonts w:ascii="仿宋_GB2312" w:hAnsi="仿宋_GB2312" w:cs="仿宋_GB2312" w:eastAsia="仿宋_GB2312"/>
        </w:rPr>
        <w:t>详见附件：授权委托书.docx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