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版本号：LYCCG-2026026.1B120260327001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（货物类）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周至县人民医院心脏介入治疗设备购置项目(二次)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LYCCG-2026026.1B1</w:t>
      </w:r>
      <w:r>
        <w:br/>
      </w:r>
      <w:r>
        <w:br/>
      </w:r>
      <w:r>
        <w:br/>
      </w:r>
    </w:p>
    <w:p>
      <w:pPr>
        <w:pStyle w:val="null3"/>
        <w:jc w:val="center"/>
        <w:outlineLvl w:val="2"/>
      </w:pPr>
      <w:r>
        <w:rPr>
          <w:rFonts w:ascii="仿宋_GB2312" w:hAnsi="仿宋_GB2312" w:cs="仿宋_GB2312" w:eastAsia="仿宋_GB2312"/>
          <w:sz w:val="28"/>
          <w:b/>
        </w:rPr>
        <w:t>西安市周至县人民医院</w:t>
      </w:r>
    </w:p>
    <w:p>
      <w:pPr>
        <w:pStyle w:val="null3"/>
        <w:jc w:val="center"/>
        <w:outlineLvl w:val="2"/>
      </w:pPr>
      <w:r>
        <w:rPr>
          <w:rFonts w:ascii="仿宋_GB2312" w:hAnsi="仿宋_GB2312" w:cs="仿宋_GB2312" w:eastAsia="仿宋_GB2312"/>
          <w:sz w:val="28"/>
          <w:b/>
        </w:rPr>
        <w:t>陕西龙宇诚项目管理有限公司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陕西龙宇诚项目管理有限公司</w:t>
      </w:r>
      <w:r>
        <w:rPr>
          <w:rFonts w:ascii="仿宋_GB2312" w:hAnsi="仿宋_GB2312" w:cs="仿宋_GB2312" w:eastAsia="仿宋_GB2312"/>
        </w:rPr>
        <w:t>（以下简称“代理机构”）受</w:t>
      </w:r>
      <w:r>
        <w:rPr>
          <w:rFonts w:ascii="仿宋_GB2312" w:hAnsi="仿宋_GB2312" w:cs="仿宋_GB2312" w:eastAsia="仿宋_GB2312"/>
        </w:rPr>
        <w:t>西安市周至县人民医院</w:t>
      </w:r>
      <w:r>
        <w:rPr>
          <w:rFonts w:ascii="仿宋_GB2312" w:hAnsi="仿宋_GB2312" w:cs="仿宋_GB2312" w:eastAsia="仿宋_GB2312"/>
        </w:rPr>
        <w:t>委托，拟对</w:t>
      </w:r>
      <w:r>
        <w:rPr>
          <w:rFonts w:ascii="仿宋_GB2312" w:hAnsi="仿宋_GB2312" w:cs="仿宋_GB2312" w:eastAsia="仿宋_GB2312"/>
        </w:rPr>
        <w:t>周至县人民医院心脏介入治疗设备购置项目(二次)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LYCCG-2026026.1B1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周至县人民医院心脏介入治疗设备购置项目(二次)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心脏介入治疗设备购置</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1、有效的主体资格证明：在中华人民共和国境内注册，依法取得并有效存续的营业执照（含电子营业执照）/事业单位法人证书/民办非企业单位登记证书/非企业专业服务机构执业许可证等。</w:t>
      </w:r>
    </w:p>
    <w:p>
      <w:pPr>
        <w:pStyle w:val="null3"/>
      </w:pPr>
      <w:r>
        <w:rPr>
          <w:rFonts w:ascii="仿宋_GB2312" w:hAnsi="仿宋_GB2312" w:cs="仿宋_GB2312" w:eastAsia="仿宋_GB2312"/>
        </w:rPr>
        <w:t>2、财务状况报告（任选其一）：2023、2024、2025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p>
    <w:p>
      <w:pPr>
        <w:pStyle w:val="null3"/>
      </w:pPr>
      <w:r>
        <w:rPr>
          <w:rFonts w:ascii="仿宋_GB2312" w:hAnsi="仿宋_GB2312" w:cs="仿宋_GB2312" w:eastAsia="仿宋_GB2312"/>
        </w:rPr>
        <w:t>3、社保资金缴纳证明：提交响应文件截止时间前一年内至少一个月的社会保障资金缴存单据或社保机构开具的社会保险参保缴费情况证明，单据或证明上应有社保机构或代收机构的公章或业务专用章。</w:t>
      </w:r>
    </w:p>
    <w:p>
      <w:pPr>
        <w:pStyle w:val="null3"/>
      </w:pPr>
      <w:r>
        <w:rPr>
          <w:rFonts w:ascii="仿宋_GB2312" w:hAnsi="仿宋_GB2312" w:cs="仿宋_GB2312" w:eastAsia="仿宋_GB2312"/>
        </w:rPr>
        <w:t>4、税收缴纳证明：提交响应文件截止时间前一年内至少一个月的纳税证明或完税证明（时间以税款所属时期为准），纳税证明或完税证明上应有代收机构或税务机关的公章或业务专用章；依法免税的投标人应提供相关文件证明。</w:t>
      </w:r>
    </w:p>
    <w:p>
      <w:pPr>
        <w:pStyle w:val="null3"/>
      </w:pPr>
      <w:r>
        <w:rPr>
          <w:rFonts w:ascii="仿宋_GB2312" w:hAnsi="仿宋_GB2312" w:cs="仿宋_GB2312" w:eastAsia="仿宋_GB2312"/>
        </w:rPr>
        <w:t>5、无重大违法记录声明：参加本次采购活动前 3 年内在经营活动中没有重大违法记录，以及未被列入失信被执行人、重大税收违法案件当事人名单的书面声明。</w:t>
      </w:r>
    </w:p>
    <w:p>
      <w:pPr>
        <w:pStyle w:val="null3"/>
      </w:pPr>
      <w:r>
        <w:rPr>
          <w:rFonts w:ascii="仿宋_GB2312" w:hAnsi="仿宋_GB2312" w:cs="仿宋_GB2312" w:eastAsia="仿宋_GB2312"/>
        </w:rPr>
        <w:t>6、法定代表人（主要负责人）委托授权书/身份证明：法定代表人（主要负责人）委托代理人参加投标时，应提供法定代表人（主要负责人）委托授权书；法定代表人（主要负责人）亲自参加投标时，应提供法定代表人（主要负责人）身份证明书。</w:t>
      </w:r>
    </w:p>
    <w:p>
      <w:pPr>
        <w:pStyle w:val="null3"/>
      </w:pPr>
      <w:r>
        <w:rPr>
          <w:rFonts w:ascii="仿宋_GB2312" w:hAnsi="仿宋_GB2312" w:cs="仿宋_GB2312" w:eastAsia="仿宋_GB2312"/>
        </w:rPr>
        <w:t>7、信用记录审查结果：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p>
      <w:pPr>
        <w:pStyle w:val="null3"/>
      </w:pPr>
      <w:r>
        <w:rPr>
          <w:rFonts w:ascii="仿宋_GB2312" w:hAnsi="仿宋_GB2312" w:cs="仿宋_GB2312" w:eastAsia="仿宋_GB2312"/>
        </w:rPr>
        <w:t>8、特定资格1：供应商须提供医疗器械经营许可证或备案凭证（所响应产品须在其经营范围内）和所响应产品的医疗器械产品注册证及其附件或备案凭证及所响应产品的医疗器械生产许可证或备案凭证，所投产品为进口的须提供进口医疗器械进字号注册证。</w:t>
      </w:r>
    </w:p>
    <w:p>
      <w:pPr>
        <w:pStyle w:val="null3"/>
      </w:pPr>
      <w:r>
        <w:rPr>
          <w:rFonts w:ascii="仿宋_GB2312" w:hAnsi="仿宋_GB2312" w:cs="仿宋_GB2312" w:eastAsia="仿宋_GB2312"/>
        </w:rPr>
        <w:t>9、特定资格2：所投产品为进口的，投标人需提供产品厂家对所投产品的授权，或具有授权权限的代理商对所投产品的授权书（且需提供该代理商具有有效授权权限的相关证明文件，证明文件需能显示产品制造厂家对所投产品授权链条的完整性）；所投产品为国产的，提供国产产品书面声明。</w:t>
      </w:r>
    </w:p>
    <w:p>
      <w:pPr>
        <w:pStyle w:val="null3"/>
      </w:pPr>
      <w:r>
        <w:rPr>
          <w:rFonts w:ascii="仿宋_GB2312" w:hAnsi="仿宋_GB2312" w:cs="仿宋_GB2312" w:eastAsia="仿宋_GB2312"/>
        </w:rPr>
        <w:t>10、本项目不接受联合体投标：非联合体投标声明函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 xml:space="preserve"> 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中标（成交）结果、中标（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西安市周至县人民医院</w:t>
      </w:r>
    </w:p>
    <w:p>
      <w:pPr>
        <w:pStyle w:val="null3"/>
      </w:pPr>
      <w:r>
        <w:rPr>
          <w:rFonts w:ascii="仿宋_GB2312" w:hAnsi="仿宋_GB2312" w:cs="仿宋_GB2312" w:eastAsia="仿宋_GB2312"/>
        </w:rPr>
        <w:t xml:space="preserve"> 地址： </w:t>
      </w:r>
      <w:r>
        <w:rPr>
          <w:rFonts w:ascii="仿宋_GB2312" w:hAnsi="仿宋_GB2312" w:cs="仿宋_GB2312" w:eastAsia="仿宋_GB2312"/>
        </w:rPr>
        <w:t>周至县二曲街道工业路中段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710400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西安市周至县人民医院经办</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02985199312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陕西龙宇诚项目管理有限公司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陕西省西安市雁塔区电子正街南延伸段万象国际中心 2 号楼 707 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梁伊涛</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029-81028400</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周至县政府采购管理股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张旭霞</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87113948</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采购包1：442,000.00元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 xml:space="preserve"> 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（3）同一专业的单位组成的联合体，应当按照资质等级较低的单位确定联合体的资质等级。某联合体由三个单位组成，其中两个单位资质等级为甲级，另一单位资质等级为乙级，则该联合体资质等级为乙级。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 核心产品清单详见第三章。</w:t>
            </w:r>
          </w:p>
          <w:p>
            <w:pPr>
              <w:pStyle w:val="null3"/>
            </w:pPr>
            <w:r>
              <w:rPr>
                <w:rFonts w:ascii="仿宋_GB2312" w:hAnsi="仿宋_GB2312" w:cs="仿宋_GB2312" w:eastAsia="仿宋_GB2312"/>
              </w:rPr>
              <w:t xml:space="preserve"> 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代理服务费收费标准：中标人在领取《中标通知书》之前，向采购代理机构一次付清招标代理服务费。招标代理服务费收取参照国家计委颁布的《招标代理服务收费管理暂行 办法》（计价格[2002]1980号）和（发改办价格[2003]857号）货物类收费标准。按照中标金额差额定率累进法计算。 请将服务费汇至下列指定账户： 开户名称：陕西龙宇诚项目管理有限公司 开户行名称：交通银行股份有限公司西安南二环支行 账号：6113 0113 6013 0010 55668</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允许。本项目允许采购进口产品，进口产品的清单详见第3章。</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出现下列情形之一的，采购人或者代理机构应当中止电子化采购活动，并保留相关证明材料备查：</w:t>
            </w:r>
          </w:p>
          <w:p>
            <w:pPr>
              <w:pStyle w:val="null3"/>
            </w:pPr>
            <w:r>
              <w:rPr>
                <w:rFonts w:ascii="仿宋_GB2312" w:hAnsi="仿宋_GB2312" w:cs="仿宋_GB2312" w:eastAsia="仿宋_GB2312"/>
              </w:rPr>
              <w:t xml:space="preserve"> （一）交易系统发生故障（包括感染病毒、应用或数据库出错）而无法正常使用的；</w:t>
            </w:r>
          </w:p>
          <w:p>
            <w:pPr>
              <w:pStyle w:val="null3"/>
            </w:pPr>
            <w:r>
              <w:rPr>
                <w:rFonts w:ascii="仿宋_GB2312" w:hAnsi="仿宋_GB2312" w:cs="仿宋_GB2312" w:eastAsia="仿宋_GB2312"/>
              </w:rPr>
              <w:t xml:space="preserve"> （二）因组织场所停电、断网等原因，导致采购活动无法继续通过交易系统实施的；</w:t>
            </w:r>
          </w:p>
          <w:p>
            <w:pPr>
              <w:pStyle w:val="null3"/>
            </w:pPr>
            <w:r>
              <w:rPr>
                <w:rFonts w:ascii="仿宋_GB2312" w:hAnsi="仿宋_GB2312" w:cs="仿宋_GB2312" w:eastAsia="仿宋_GB2312"/>
              </w:rPr>
              <w:t xml:space="preserve"> （三）其他无法保证电子化交易的公平、公正和安全的情况。</w:t>
            </w:r>
          </w:p>
          <w:p>
            <w:pPr>
              <w:pStyle w:val="null3"/>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西安市周至县人民医院</w:t>
      </w:r>
      <w:r>
        <w:rPr>
          <w:rFonts w:ascii="仿宋_GB2312" w:hAnsi="仿宋_GB2312" w:cs="仿宋_GB2312" w:eastAsia="仿宋_GB2312"/>
        </w:rPr>
        <w:t>和</w:t>
      </w:r>
      <w:r>
        <w:rPr>
          <w:rFonts w:ascii="仿宋_GB2312" w:hAnsi="仿宋_GB2312" w:cs="仿宋_GB2312" w:eastAsia="仿宋_GB2312"/>
        </w:rPr>
        <w:t>陕西龙宇诚项目管理有限公司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西安市周至县人民医院</w:t>
      </w:r>
      <w:r>
        <w:rPr>
          <w:rFonts w:ascii="仿宋_GB2312" w:hAnsi="仿宋_GB2312" w:cs="仿宋_GB2312" w:eastAsia="仿宋_GB2312"/>
        </w:rPr>
        <w:t>负责解释。除上述磋商文件内容，其他内容由</w:t>
      </w:r>
      <w:r>
        <w:rPr>
          <w:rFonts w:ascii="仿宋_GB2312" w:hAnsi="仿宋_GB2312" w:cs="仿宋_GB2312" w:eastAsia="仿宋_GB2312"/>
        </w:rPr>
        <w:t>陕西龙宇诚项目管理有限公司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一、“采购人”是指依法进行政府采购的各级国家机关、事业单位、团体组织。本次磋商的采购人是{采购人名称}。</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陕西龙宇诚项目管理有限公司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2.3.2磋商文件的澄清和修改</w:t>
      </w:r>
    </w:p>
    <w:p>
      <w:pPr>
        <w:pStyle w:val="null3"/>
        <w:ind w:firstLine="480"/>
      </w:pPr>
      <w:r>
        <w:rPr>
          <w:rFonts w:ascii="仿宋_GB2312" w:hAnsi="仿宋_GB2312" w:cs="仿宋_GB2312" w:eastAsia="仿宋_GB2312"/>
        </w:rPr>
        <w:t xml:space="preserve"> 一、在提交首次响应文件截止时间前，采购人或者代理机构可以对已发出的磋商文件进行必要的澄清或者修改。</w:t>
      </w:r>
    </w:p>
    <w:p>
      <w:pPr>
        <w:pStyle w:val="null3"/>
      </w:pPr>
      <w:r>
        <w:rPr>
          <w:rFonts w:ascii="仿宋_GB2312" w:hAnsi="仿宋_GB2312" w:cs="仿宋_GB2312" w:eastAsia="仿宋_GB2312"/>
        </w:rPr>
        <w:t>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视其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 xml:space="preserve"> 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2.4.6响应文件格式</w:t>
      </w:r>
    </w:p>
    <w:p>
      <w:pPr>
        <w:pStyle w:val="null3"/>
        <w:ind w:firstLine="480"/>
      </w:pPr>
      <w:r>
        <w:rPr>
          <w:rFonts w:ascii="仿宋_GB2312" w:hAnsi="仿宋_GB2312" w:cs="仿宋_GB2312" w:eastAsia="仿宋_GB2312"/>
        </w:rPr>
        <w:t xml:space="preserve"> 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一、供应商的报价是其响应磋商项目要求的全部工作内容的价格体现，包括供应商完成本项目所需的一切费用。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2.4.9响应文件的制作、签章和加密（实质性要求）</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 xml:space="preserve"> 一、供应商应当在提交响应文件截止时间前，通过项目电子化交易系统完成首次响应文件提交。</w:t>
      </w:r>
    </w:p>
    <w:p>
      <w:pPr>
        <w:pStyle w:val="null3"/>
        <w:ind w:firstLine="480"/>
      </w:pPr>
      <w:r>
        <w:rPr>
          <w:rFonts w:ascii="仿宋_GB2312" w:hAnsi="仿宋_GB2312" w:cs="仿宋_GB2312" w:eastAsia="仿宋_GB2312"/>
        </w:rPr>
        <w:t xml:space="preserve"> 二、在提交响应文件截止时间后，代理机构不再接受供应商提交响应文件。供应商应充分考虑影响响应文件提交的各种因素，确保在提交响应文件截止时间前完成提交。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pPr>
      <w:r>
        <w:rPr>
          <w:rFonts w:ascii="仿宋_GB2312" w:hAnsi="仿宋_GB2312" w:cs="仿宋_GB2312" w:eastAsia="仿宋_GB2312"/>
        </w:rPr>
        <w:t xml:space="preserve"> 响应文件开启时间前，供应商登录项目电子化交易系统-“开标/开启大厅”，等待代理机构开启磋商。</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2.6.1签订合同</w:t>
      </w:r>
    </w:p>
    <w:p>
      <w:pPr>
        <w:pStyle w:val="null3"/>
        <w:ind w:firstLine="480"/>
      </w:pPr>
      <w:r>
        <w:rPr>
          <w:rFonts w:ascii="仿宋_GB2312" w:hAnsi="仿宋_GB2312" w:cs="仿宋_GB2312" w:eastAsia="仿宋_GB2312"/>
        </w:rPr>
        <w:t xml:space="preserve"> 一、采购人应在成交通知书发出之日起三十日内与成交供应商签订采购合同。</w:t>
      </w:r>
    </w:p>
    <w:p>
      <w:pPr>
        <w:pStyle w:val="null3"/>
        <w:ind w:firstLine="480"/>
      </w:pPr>
      <w:r>
        <w:rPr>
          <w:rFonts w:ascii="仿宋_GB2312" w:hAnsi="仿宋_GB2312" w:cs="仿宋_GB2312" w:eastAsia="仿宋_GB2312"/>
        </w:rPr>
        <w:t xml:space="preserve"> 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 xml:space="preserve"> 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本项目转给他人或者将本项目全部肢解以后以分包的名义分别转给他人的行为。</w:t>
      </w:r>
    </w:p>
    <w:p>
      <w:pPr>
        <w:pStyle w:val="null3"/>
        <w:ind w:firstLine="480"/>
      </w:pPr>
      <w:r>
        <w:rPr>
          <w:rFonts w:ascii="仿宋_GB2312" w:hAnsi="仿宋_GB2312" w:cs="仿宋_GB2312" w:eastAsia="仿宋_GB2312"/>
        </w:rPr>
        <w:t xml:space="preserve"> 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一、成交供应商与采购人签订合同后，合同双方应严格执行合同条款，履行合同规定的义务，保证合同的顺利完成。</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 xml:space="preserve"> 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 xml:space="preserve"> （三）不同供应商的响应文件载明的项目管理成员或者联系人员为同一人；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供应商有上述情形的，按照规定追究法律责任，具有前述一至十三条情形之一的，其响应文件无效，或取消被确认为成交供应商的资格或认定成交无效。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2.7.3采购人员及相关人员回避要求</w:t>
      </w:r>
    </w:p>
    <w:p>
      <w:pPr>
        <w:pStyle w:val="null3"/>
        <w:ind w:firstLine="480"/>
      </w:pPr>
      <w:r>
        <w:rPr>
          <w:rFonts w:ascii="仿宋_GB2312" w:hAnsi="仿宋_GB2312" w:cs="仿宋_GB2312" w:eastAsia="仿宋_GB2312"/>
        </w:rPr>
        <w:t xml:space="preserve"> 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 xml:space="preserve"> （四）与供应商的法定代表人或者负责人有夫妻、直系血亲、三代以内旁系血亲或者近姻亲关系；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负责答复；供应商对采购过程的询问、质疑由</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负责答复；供应商对采购结果的询问、质疑由 </w:t>
      </w:r>
      <w:r>
        <w:rPr>
          <w:rFonts w:ascii="仿宋_GB2312" w:hAnsi="仿宋_GB2312" w:cs="仿宋_GB2312" w:eastAsia="仿宋_GB2312"/>
        </w:rPr>
        <w:t>陕西龙宇诚项目管理有限公司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 xml:space="preserve"> 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pPr>
      <w:r>
        <w:rPr>
          <w:rFonts w:ascii="仿宋_GB2312" w:hAnsi="仿宋_GB2312" w:cs="仿宋_GB2312" w:eastAsia="仿宋_GB2312"/>
        </w:rPr>
        <w:t>（二）对采购过程提出质疑的，为各采购程序环节结束之日；</w:t>
      </w:r>
    </w:p>
    <w:p>
      <w:pPr>
        <w:pStyle w:val="null3"/>
        <w:ind w:firstLine="480"/>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 xml:space="preserve"> 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 xml:space="preserve"> （二）法定代表人或主要负责人授权委托书1份（委托代理人办理质疑事宜的需提供）；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 xml:space="preserve"> （四）委托代理人身份证复印件1份（委托代理人办理质疑事宜的需提供）；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联系人：梁伊涛</w:t>
      </w:r>
    </w:p>
    <w:p>
      <w:pPr>
        <w:pStyle w:val="null3"/>
      </w:pPr>
      <w:r>
        <w:rPr>
          <w:rFonts w:ascii="仿宋_GB2312" w:hAnsi="仿宋_GB2312" w:cs="仿宋_GB2312" w:eastAsia="仿宋_GB2312"/>
        </w:rPr>
        <w:t>联系电话：029-81028400</w:t>
      </w:r>
    </w:p>
    <w:p>
      <w:pPr>
        <w:pStyle w:val="null3"/>
      </w:pPr>
      <w:r>
        <w:rPr>
          <w:rFonts w:ascii="仿宋_GB2312" w:hAnsi="仿宋_GB2312" w:cs="仿宋_GB2312" w:eastAsia="仿宋_GB2312"/>
        </w:rPr>
        <w:t>地址：陕西省西安市雁塔区电子正街南延伸段万象国际中心 2 号楼 707 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 xml:space="preserve"> 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 xml:space="preserve"> 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心脏介入治疗设备购置</w:t>
      </w:r>
    </w:p>
    <w:p>
      <w:pPr>
        <w:pStyle w:val="null3"/>
        <w:outlineLvl w:val="2"/>
      </w:pPr>
      <w:r>
        <w:rPr>
          <w:rFonts w:ascii="仿宋_GB2312" w:hAnsi="仿宋_GB2312" w:cs="仿宋_GB2312" w:eastAsia="仿宋_GB2312"/>
          <w:sz w:val="28"/>
          <w:b/>
        </w:rPr>
        <w:t>3.2采购内容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442,000.00</w:t>
      </w:r>
    </w:p>
    <w:p>
      <w:pPr>
        <w:pStyle w:val="null3"/>
      </w:pPr>
      <w:r>
        <w:rPr>
          <w:rFonts w:ascii="仿宋_GB2312" w:hAnsi="仿宋_GB2312" w:cs="仿宋_GB2312" w:eastAsia="仿宋_GB2312"/>
        </w:rPr>
        <w:t>采购包最高限价（元）: 442,000.00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冠脉旋磨介入治疗设备1套</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442,000.00</w:t>
            </w:r>
          </w:p>
        </w:tc>
        <w:tc>
          <w:tcPr>
            <w:tcW w:type="dxa" w:w="831"/>
          </w:tcPr>
          <w:p>
            <w:pPr>
              <w:pStyle w:val="null3"/>
            </w:pPr>
            <w:r>
              <w:rPr>
                <w:rFonts w:ascii="仿宋_GB2312" w:hAnsi="仿宋_GB2312" w:cs="仿宋_GB2312" w:eastAsia="仿宋_GB2312"/>
              </w:rPr>
              <w:t>批</w:t>
            </w:r>
          </w:p>
        </w:tc>
        <w:tc>
          <w:tcPr>
            <w:tcW w:type="dxa" w:w="831"/>
          </w:tcPr>
          <w:p>
            <w:pPr>
              <w:pStyle w:val="null3"/>
            </w:pPr>
            <w:r>
              <w:rPr>
                <w:rFonts w:ascii="仿宋_GB2312" w:hAnsi="仿宋_GB2312" w:cs="仿宋_GB2312" w:eastAsia="仿宋_GB2312"/>
              </w:rPr>
              <w:t>工业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是</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3.3技术要求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标的名称：冠脉旋磨介入治疗设备1套</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345" w:after="330"/>
              <w:jc w:val="center"/>
              <w:outlineLvl w:val="0"/>
            </w:pPr>
            <w:r>
              <w:rPr>
                <w:rFonts w:ascii="仿宋_GB2312" w:hAnsi="仿宋_GB2312" w:cs="仿宋_GB2312" w:eastAsia="仿宋_GB2312"/>
                <w:sz w:val="44"/>
                <w:b/>
              </w:rPr>
              <w:t>心脏介入治疗设备购置项目清单</w:t>
            </w:r>
          </w:p>
          <w:tbl>
            <w:tblPr>
              <w:tblBorders>
                <w:top w:val="none" w:color="000000" w:sz="4"/>
                <w:left w:val="none" w:color="000000" w:sz="4"/>
                <w:bottom w:val="none" w:color="000000" w:sz="4"/>
                <w:right w:val="none" w:color="000000" w:sz="4"/>
                <w:insideH w:val="none"/>
                <w:insideV w:val="none"/>
              </w:tblBorders>
            </w:tblPr>
            <w:tblGrid>
              <w:gridCol w:w="326"/>
              <w:gridCol w:w="1291"/>
              <w:gridCol w:w="578"/>
              <w:gridCol w:w="344"/>
            </w:tblGrid>
            <w:tr>
              <w:tc>
                <w:tcPr>
                  <w:tcW w:type="dxa" w:w="3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序号</w:t>
                  </w:r>
                </w:p>
              </w:tc>
              <w:tc>
                <w:tcPr>
                  <w:tcW w:type="dxa" w:w="129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设备名称</w:t>
                  </w:r>
                </w:p>
              </w:tc>
              <w:tc>
                <w:tcPr>
                  <w:tcW w:type="dxa" w:w="578"/>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数量（台）</w:t>
                  </w:r>
                </w:p>
              </w:tc>
              <w:tc>
                <w:tcPr>
                  <w:tcW w:type="dxa" w:w="34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产地</w:t>
                  </w:r>
                </w:p>
              </w:tc>
            </w:tr>
            <w:tr>
              <w:tc>
                <w:tcPr>
                  <w:tcW w:type="dxa" w:w="3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1</w:t>
                  </w:r>
                </w:p>
              </w:tc>
              <w:tc>
                <w:tcPr>
                  <w:tcW w:type="dxa" w:w="129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冠脉旋磨介入治疗设备</w:t>
                  </w:r>
                </w:p>
              </w:tc>
              <w:tc>
                <w:tcPr>
                  <w:tcW w:type="dxa" w:w="578"/>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1套</w:t>
                  </w:r>
                </w:p>
              </w:tc>
              <w:tc>
                <w:tcPr>
                  <w:tcW w:type="dxa" w:w="34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8"/>
                      <w:b/>
                    </w:rPr>
                    <w:t>进口</w:t>
                  </w:r>
                </w:p>
              </w:tc>
            </w:tr>
          </w:tbl>
          <w:p>
            <w:pPr>
              <w:pStyle w:val="null3"/>
              <w:spacing w:before="345" w:after="330"/>
              <w:jc w:val="both"/>
              <w:outlineLvl w:val="0"/>
            </w:pPr>
            <w:r>
              <w:rPr>
                <w:rFonts w:ascii="仿宋_GB2312" w:hAnsi="仿宋_GB2312" w:cs="仿宋_GB2312" w:eastAsia="仿宋_GB2312"/>
                <w:sz w:val="36"/>
                <w:b/>
              </w:rPr>
              <w:t>一、采购需求</w:t>
            </w:r>
          </w:p>
          <w:p>
            <w:pPr>
              <w:pStyle w:val="null3"/>
              <w:ind w:firstLine="640"/>
              <w:jc w:val="both"/>
            </w:pPr>
            <w:r>
              <w:rPr>
                <w:rFonts w:ascii="仿宋_GB2312" w:hAnsi="仿宋_GB2312" w:cs="仿宋_GB2312" w:eastAsia="仿宋_GB2312"/>
                <w:sz w:val="21"/>
              </w:rPr>
              <w:t xml:space="preserve"> </w:t>
            </w:r>
            <w:r>
              <w:rPr>
                <w:rFonts w:ascii="仿宋_GB2312" w:hAnsi="仿宋_GB2312" w:cs="仿宋_GB2312" w:eastAsia="仿宋_GB2312"/>
                <w:sz w:val="32"/>
              </w:rPr>
              <w:t>供应商负责项目内所有设备三年质保，</w:t>
            </w:r>
            <w:r>
              <w:rPr>
                <w:rFonts w:ascii="仿宋_GB2312" w:hAnsi="仿宋_GB2312" w:cs="仿宋_GB2312" w:eastAsia="仿宋_GB2312"/>
                <w:sz w:val="32"/>
              </w:rPr>
              <w:t>并</w:t>
            </w:r>
            <w:r>
              <w:rPr>
                <w:rFonts w:ascii="仿宋_GB2312" w:hAnsi="仿宋_GB2312" w:cs="仿宋_GB2312" w:eastAsia="仿宋_GB2312"/>
                <w:sz w:val="32"/>
              </w:rPr>
              <w:t>承担与医院相关接口对接的费用。</w:t>
            </w:r>
          </w:p>
          <w:p>
            <w:pPr>
              <w:pStyle w:val="null3"/>
              <w:spacing w:before="345" w:after="330"/>
              <w:jc w:val="both"/>
              <w:outlineLvl w:val="0"/>
            </w:pPr>
            <w:r>
              <w:rPr>
                <w:rFonts w:ascii="仿宋_GB2312" w:hAnsi="仿宋_GB2312" w:cs="仿宋_GB2312" w:eastAsia="仿宋_GB2312"/>
                <w:sz w:val="36"/>
                <w:b/>
              </w:rPr>
              <w:t>二、技术参数</w:t>
            </w:r>
          </w:p>
          <w:p>
            <w:pPr>
              <w:pStyle w:val="null3"/>
              <w:jc w:val="center"/>
            </w:pPr>
            <w:r>
              <w:rPr>
                <w:rFonts w:ascii="仿宋_GB2312" w:hAnsi="仿宋_GB2312" w:cs="仿宋_GB2312" w:eastAsia="仿宋_GB2312"/>
                <w:sz w:val="40"/>
                <w:b/>
              </w:rPr>
              <w:t>旋磨介入治疗仪（</w:t>
            </w:r>
            <w:r>
              <w:rPr>
                <w:rFonts w:ascii="仿宋_GB2312" w:hAnsi="仿宋_GB2312" w:cs="仿宋_GB2312" w:eastAsia="仿宋_GB2312"/>
                <w:sz w:val="40"/>
                <w:b/>
              </w:rPr>
              <w:t>1</w:t>
            </w:r>
            <w:r>
              <w:rPr>
                <w:rFonts w:ascii="仿宋_GB2312" w:hAnsi="仿宋_GB2312" w:cs="仿宋_GB2312" w:eastAsia="仿宋_GB2312"/>
                <w:sz w:val="40"/>
                <w:b/>
              </w:rPr>
              <w:t>台）</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系统组成：包括控制台，空气软管，台车</w:t>
            </w:r>
          </w:p>
          <w:p>
            <w:pPr>
              <w:pStyle w:val="null3"/>
              <w:jc w:val="both"/>
            </w:pPr>
            <w:r>
              <w:rPr>
                <w:rFonts w:ascii="仿宋_GB2312" w:hAnsi="仿宋_GB2312" w:cs="仿宋_GB2312" w:eastAsia="仿宋_GB2312"/>
                <w:sz w:val="32"/>
              </w:rPr>
              <w:t>▲</w:t>
            </w:r>
            <w:r>
              <w:rPr>
                <w:rFonts w:ascii="仿宋_GB2312" w:hAnsi="仿宋_GB2312" w:cs="仿宋_GB2312" w:eastAsia="仿宋_GB2312"/>
                <w:sz w:val="32"/>
              </w:rPr>
              <w:t>2.</w:t>
            </w:r>
            <w:r>
              <w:rPr>
                <w:rFonts w:ascii="仿宋_GB2312" w:hAnsi="仿宋_GB2312" w:cs="仿宋_GB2312" w:eastAsia="仿宋_GB2312"/>
                <w:sz w:val="32"/>
              </w:rPr>
              <w:t>转速范围：</w:t>
            </w:r>
            <w:r>
              <w:rPr>
                <w:rFonts w:ascii="仿宋_GB2312" w:hAnsi="仿宋_GB2312" w:cs="仿宋_GB2312" w:eastAsia="仿宋_GB2312"/>
                <w:sz w:val="32"/>
              </w:rPr>
              <w:t>0-250000r/min</w:t>
            </w:r>
          </w:p>
          <w:p>
            <w:pPr>
              <w:pStyle w:val="null3"/>
              <w:jc w:val="both"/>
            </w:pPr>
            <w:r>
              <w:rPr>
                <w:rFonts w:ascii="仿宋_GB2312" w:hAnsi="仿宋_GB2312" w:cs="仿宋_GB2312" w:eastAsia="仿宋_GB2312"/>
                <w:sz w:val="32"/>
              </w:rPr>
              <w:t>3.</w:t>
            </w:r>
            <w:r>
              <w:rPr>
                <w:rFonts w:ascii="仿宋_GB2312" w:hAnsi="仿宋_GB2312" w:cs="仿宋_GB2312" w:eastAsia="仿宋_GB2312"/>
                <w:sz w:val="32"/>
              </w:rPr>
              <w:t>计时器</w:t>
            </w:r>
            <w:r>
              <w:rPr>
                <w:rFonts w:ascii="仿宋_GB2312" w:hAnsi="仿宋_GB2312" w:cs="仿宋_GB2312" w:eastAsia="仿宋_GB2312"/>
                <w:sz w:val="32"/>
              </w:rPr>
              <w:t>00:00-59:59</w:t>
            </w:r>
          </w:p>
          <w:p>
            <w:pPr>
              <w:pStyle w:val="null3"/>
              <w:jc w:val="both"/>
            </w:pPr>
            <w:r>
              <w:rPr>
                <w:rFonts w:ascii="仿宋_GB2312" w:hAnsi="仿宋_GB2312" w:cs="仿宋_GB2312" w:eastAsia="仿宋_GB2312"/>
                <w:sz w:val="32"/>
              </w:rPr>
              <w:t>4.</w:t>
            </w:r>
            <w:r>
              <w:rPr>
                <w:rFonts w:ascii="仿宋_GB2312" w:hAnsi="仿宋_GB2312" w:cs="仿宋_GB2312" w:eastAsia="仿宋_GB2312"/>
                <w:sz w:val="32"/>
              </w:rPr>
              <w:t>具有</w:t>
            </w:r>
            <w:r>
              <w:rPr>
                <w:rFonts w:ascii="仿宋_GB2312" w:hAnsi="仿宋_GB2312" w:cs="仿宋_GB2312" w:eastAsia="仿宋_GB2312"/>
                <w:sz w:val="32"/>
              </w:rPr>
              <w:t>速度下降幅度</w:t>
            </w:r>
            <w:r>
              <w:rPr>
                <w:rFonts w:ascii="仿宋_GB2312" w:hAnsi="仿宋_GB2312" w:cs="仿宋_GB2312" w:eastAsia="仿宋_GB2312"/>
                <w:sz w:val="32"/>
              </w:rPr>
              <w:t>功能</w:t>
            </w:r>
          </w:p>
          <w:p>
            <w:pPr>
              <w:pStyle w:val="null3"/>
              <w:jc w:val="both"/>
            </w:pPr>
            <w:r>
              <w:rPr>
                <w:rFonts w:ascii="仿宋_GB2312" w:hAnsi="仿宋_GB2312" w:cs="仿宋_GB2312" w:eastAsia="仿宋_GB2312"/>
                <w:sz w:val="32"/>
              </w:rPr>
              <w:t>5.</w:t>
            </w:r>
            <w:r>
              <w:rPr>
                <w:rFonts w:ascii="仿宋_GB2312" w:hAnsi="仿宋_GB2312" w:cs="仿宋_GB2312" w:eastAsia="仿宋_GB2312"/>
                <w:sz w:val="32"/>
              </w:rPr>
              <w:t>失速</w:t>
            </w:r>
            <w:r>
              <w:rPr>
                <w:rFonts w:ascii="仿宋_GB2312" w:hAnsi="仿宋_GB2312" w:cs="仿宋_GB2312" w:eastAsia="仿宋_GB2312"/>
                <w:sz w:val="32"/>
              </w:rPr>
              <w:t>报警功能</w:t>
            </w:r>
          </w:p>
          <w:p>
            <w:pPr>
              <w:pStyle w:val="null3"/>
              <w:jc w:val="both"/>
            </w:pPr>
            <w:r>
              <w:rPr>
                <w:rFonts w:ascii="仿宋_GB2312" w:hAnsi="仿宋_GB2312" w:cs="仿宋_GB2312" w:eastAsia="仿宋_GB2312"/>
                <w:sz w:val="32"/>
              </w:rPr>
              <w:t>6.</w:t>
            </w:r>
            <w:r>
              <w:rPr>
                <w:rFonts w:ascii="仿宋_GB2312" w:hAnsi="仿宋_GB2312" w:cs="仿宋_GB2312" w:eastAsia="仿宋_GB2312"/>
                <w:sz w:val="32"/>
              </w:rPr>
              <w:t>具</w:t>
            </w:r>
            <w:r>
              <w:rPr>
                <w:rFonts w:ascii="仿宋_GB2312" w:hAnsi="仿宋_GB2312" w:cs="仿宋_GB2312" w:eastAsia="仿宋_GB2312"/>
                <w:sz w:val="32"/>
              </w:rPr>
              <w:t>有显示屏，随时显示磨头转速</w:t>
            </w:r>
          </w:p>
          <w:p>
            <w:pPr>
              <w:pStyle w:val="null3"/>
              <w:jc w:val="both"/>
            </w:pPr>
            <w:r>
              <w:rPr>
                <w:rFonts w:ascii="仿宋_GB2312" w:hAnsi="仿宋_GB2312" w:cs="仿宋_GB2312" w:eastAsia="仿宋_GB2312"/>
                <w:sz w:val="32"/>
              </w:rPr>
              <w:t>7.</w:t>
            </w:r>
            <w:r>
              <w:rPr>
                <w:rFonts w:ascii="仿宋_GB2312" w:hAnsi="仿宋_GB2312" w:cs="仿宋_GB2312" w:eastAsia="仿宋_GB2312"/>
                <w:sz w:val="32"/>
              </w:rPr>
              <w:t>采用光纤测定磨头转速</w:t>
            </w:r>
          </w:p>
          <w:p>
            <w:pPr>
              <w:pStyle w:val="null3"/>
              <w:jc w:val="both"/>
            </w:pPr>
            <w:r>
              <w:rPr>
                <w:rFonts w:ascii="仿宋_GB2312" w:hAnsi="仿宋_GB2312" w:cs="仿宋_GB2312" w:eastAsia="仿宋_GB2312"/>
                <w:sz w:val="32"/>
              </w:rPr>
              <w:t>8.</w:t>
            </w:r>
            <w:r>
              <w:rPr>
                <w:rFonts w:ascii="仿宋_GB2312" w:hAnsi="仿宋_GB2312" w:cs="仿宋_GB2312" w:eastAsia="仿宋_GB2312"/>
                <w:sz w:val="32"/>
              </w:rPr>
              <w:t>控制面板上有速度旋钮，可调节磨头转速</w:t>
            </w:r>
          </w:p>
          <w:p>
            <w:pPr>
              <w:pStyle w:val="null3"/>
              <w:jc w:val="both"/>
            </w:pPr>
            <w:r>
              <w:rPr>
                <w:rFonts w:ascii="仿宋_GB2312" w:hAnsi="仿宋_GB2312" w:cs="仿宋_GB2312" w:eastAsia="仿宋_GB2312"/>
                <w:sz w:val="32"/>
              </w:rPr>
              <w:t>9</w:t>
            </w:r>
            <w:r>
              <w:rPr>
                <w:rFonts w:ascii="仿宋_GB2312" w:hAnsi="仿宋_GB2312" w:cs="仿宋_GB2312" w:eastAsia="仿宋_GB2312"/>
                <w:sz w:val="32"/>
              </w:rPr>
              <w:t>.</w:t>
            </w:r>
            <w:r>
              <w:rPr>
                <w:rFonts w:ascii="仿宋_GB2312" w:hAnsi="仿宋_GB2312" w:cs="仿宋_GB2312" w:eastAsia="仿宋_GB2312"/>
                <w:sz w:val="32"/>
              </w:rPr>
              <w:t>旋磨同轴转动设计</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0</w:t>
            </w:r>
            <w:r>
              <w:rPr>
                <w:rFonts w:ascii="仿宋_GB2312" w:hAnsi="仿宋_GB2312" w:cs="仿宋_GB2312" w:eastAsia="仿宋_GB2312"/>
                <w:sz w:val="32"/>
              </w:rPr>
              <w:t>.</w:t>
            </w:r>
            <w:r>
              <w:rPr>
                <w:rFonts w:ascii="仿宋_GB2312" w:hAnsi="仿宋_GB2312" w:cs="仿宋_GB2312" w:eastAsia="仿宋_GB2312"/>
                <w:sz w:val="32"/>
              </w:rPr>
              <w:t>采用压缩空气或氮气为动力，压力：</w:t>
            </w:r>
            <w:r>
              <w:rPr>
                <w:rFonts w:ascii="仿宋_GB2312" w:hAnsi="仿宋_GB2312" w:cs="仿宋_GB2312" w:eastAsia="仿宋_GB2312"/>
                <w:sz w:val="32"/>
              </w:rPr>
              <w:t>620.5-758.4 kPa（90 psi - 110 psi）;流量：额定压力时</w:t>
            </w:r>
            <w:r>
              <w:rPr>
                <w:rFonts w:ascii="仿宋_GB2312" w:hAnsi="仿宋_GB2312" w:cs="仿宋_GB2312" w:eastAsia="仿宋_GB2312"/>
                <w:sz w:val="32"/>
              </w:rPr>
              <w:t>≥</w:t>
            </w:r>
            <w:r>
              <w:rPr>
                <w:rFonts w:ascii="仿宋_GB2312" w:hAnsi="仿宋_GB2312" w:cs="仿宋_GB2312" w:eastAsia="仿宋_GB2312"/>
                <w:sz w:val="32"/>
              </w:rPr>
              <w:t>140</w:t>
            </w:r>
            <w:r>
              <w:rPr>
                <w:rFonts w:ascii="仿宋_GB2312" w:hAnsi="仿宋_GB2312" w:cs="仿宋_GB2312" w:eastAsia="仿宋_GB2312"/>
                <w:sz w:val="32"/>
              </w:rPr>
              <w:t>L</w:t>
            </w:r>
            <w:r>
              <w:rPr>
                <w:rFonts w:ascii="仿宋_GB2312" w:hAnsi="仿宋_GB2312" w:cs="仿宋_GB2312" w:eastAsia="仿宋_GB2312"/>
                <w:sz w:val="32"/>
              </w:rPr>
              <w:t>/min</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1</w:t>
            </w:r>
            <w:r>
              <w:rPr>
                <w:rFonts w:ascii="仿宋_GB2312" w:hAnsi="仿宋_GB2312" w:cs="仿宋_GB2312" w:eastAsia="仿宋_GB2312"/>
                <w:sz w:val="32"/>
              </w:rPr>
              <w:t>.</w:t>
            </w:r>
            <w:r>
              <w:rPr>
                <w:rFonts w:ascii="仿宋_GB2312" w:hAnsi="仿宋_GB2312" w:cs="仿宋_GB2312" w:eastAsia="仿宋_GB2312"/>
                <w:sz w:val="32"/>
              </w:rPr>
              <w:t>旋磨导丝具有</w:t>
            </w:r>
            <w:r>
              <w:rPr>
                <w:rFonts w:ascii="仿宋_GB2312" w:hAnsi="仿宋_GB2312" w:cs="仿宋_GB2312" w:eastAsia="仿宋_GB2312"/>
                <w:sz w:val="32"/>
              </w:rPr>
              <w:t>≥2种型号。</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2</w:t>
            </w:r>
            <w:r>
              <w:rPr>
                <w:rFonts w:ascii="仿宋_GB2312" w:hAnsi="仿宋_GB2312" w:cs="仿宋_GB2312" w:eastAsia="仿宋_GB2312"/>
                <w:sz w:val="32"/>
              </w:rPr>
              <w:t>.</w:t>
            </w:r>
            <w:r>
              <w:rPr>
                <w:rFonts w:ascii="仿宋_GB2312" w:hAnsi="仿宋_GB2312" w:cs="仿宋_GB2312" w:eastAsia="仿宋_GB2312"/>
                <w:sz w:val="32"/>
              </w:rPr>
              <w:t>控制面板</w:t>
            </w:r>
            <w:r>
              <w:rPr>
                <w:rFonts w:ascii="仿宋_GB2312" w:hAnsi="仿宋_GB2312" w:cs="仿宋_GB2312" w:eastAsia="仿宋_GB2312"/>
                <w:sz w:val="32"/>
              </w:rPr>
              <w:t>具有</w:t>
            </w:r>
            <w:r>
              <w:rPr>
                <w:rFonts w:ascii="仿宋_GB2312" w:hAnsi="仿宋_GB2312" w:cs="仿宋_GB2312" w:eastAsia="仿宋_GB2312"/>
                <w:sz w:val="32"/>
              </w:rPr>
              <w:t>≥</w:t>
            </w:r>
            <w:r>
              <w:rPr>
                <w:rFonts w:ascii="仿宋_GB2312" w:hAnsi="仿宋_GB2312" w:cs="仿宋_GB2312" w:eastAsia="仿宋_GB2312"/>
                <w:sz w:val="32"/>
              </w:rPr>
              <w:t>三种接口：光纤接口，电连接器，气体管线连接器，用于与推进器连接</w:t>
            </w:r>
            <w:r>
              <w:rPr>
                <w:rFonts w:ascii="仿宋_GB2312" w:hAnsi="仿宋_GB2312" w:cs="仿宋_GB2312" w:eastAsia="仿宋_GB2312"/>
                <w:sz w:val="32"/>
              </w:rPr>
              <w:t>等</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3</w:t>
            </w:r>
            <w:r>
              <w:rPr>
                <w:rFonts w:ascii="仿宋_GB2312" w:hAnsi="仿宋_GB2312" w:cs="仿宋_GB2312" w:eastAsia="仿宋_GB2312"/>
                <w:sz w:val="32"/>
              </w:rPr>
              <w:t>.</w:t>
            </w:r>
            <w:r>
              <w:rPr>
                <w:rFonts w:ascii="仿宋_GB2312" w:hAnsi="仿宋_GB2312" w:cs="仿宋_GB2312" w:eastAsia="仿宋_GB2312"/>
                <w:sz w:val="32"/>
              </w:rPr>
              <w:t>控制台内部包含压力组件，用于调控输出给旋磨导管的恒定压力</w:t>
            </w:r>
          </w:p>
          <w:p>
            <w:pPr>
              <w:pStyle w:val="null3"/>
              <w:jc w:val="both"/>
            </w:pPr>
            <w:r>
              <w:rPr>
                <w:rFonts w:ascii="仿宋_GB2312" w:hAnsi="仿宋_GB2312" w:cs="仿宋_GB2312" w:eastAsia="仿宋_GB2312"/>
                <w:sz w:val="32"/>
              </w:rPr>
              <w:t>1</w:t>
            </w:r>
            <w:r>
              <w:rPr>
                <w:rFonts w:ascii="仿宋_GB2312" w:hAnsi="仿宋_GB2312" w:cs="仿宋_GB2312" w:eastAsia="仿宋_GB2312"/>
                <w:sz w:val="32"/>
              </w:rPr>
              <w:t>4</w:t>
            </w:r>
            <w:r>
              <w:rPr>
                <w:rFonts w:ascii="仿宋_GB2312" w:hAnsi="仿宋_GB2312" w:cs="仿宋_GB2312" w:eastAsia="仿宋_GB2312"/>
                <w:sz w:val="32"/>
              </w:rPr>
              <w:t>.</w:t>
            </w:r>
            <w:r>
              <w:rPr>
                <w:rFonts w:ascii="仿宋_GB2312" w:hAnsi="仿宋_GB2312" w:cs="仿宋_GB2312" w:eastAsia="仿宋_GB2312"/>
                <w:sz w:val="32"/>
              </w:rPr>
              <w:t>彩色液晶屏显示：工作转速、指示器显示区域、事件计时器、过程计时器</w:t>
            </w:r>
          </w:p>
          <w:p>
            <w:pPr>
              <w:pStyle w:val="null3"/>
              <w:jc w:val="both"/>
            </w:pPr>
            <w:r>
              <w:rPr>
                <w:rFonts w:ascii="仿宋_GB2312" w:hAnsi="仿宋_GB2312" w:cs="仿宋_GB2312" w:eastAsia="仿宋_GB2312"/>
                <w:sz w:val="32"/>
              </w:rPr>
              <w:t xml:space="preserve">▲15.转速调节:初始速度≥160000 </w:t>
            </w:r>
            <w:r>
              <w:rPr>
                <w:rFonts w:ascii="仿宋_GB2312" w:hAnsi="仿宋_GB2312" w:cs="仿宋_GB2312" w:eastAsia="仿宋_GB2312"/>
                <w:sz w:val="32"/>
              </w:rPr>
              <w:t>rpm</w:t>
            </w:r>
            <w:r>
              <w:rPr>
                <w:rFonts w:ascii="仿宋_GB2312" w:hAnsi="仿宋_GB2312" w:cs="仿宋_GB2312" w:eastAsia="仿宋_GB2312"/>
                <w:sz w:val="32"/>
              </w:rPr>
              <w:t>。推进器</w:t>
            </w:r>
            <w:r>
              <w:rPr>
                <w:rFonts w:ascii="仿宋_GB2312" w:hAnsi="仿宋_GB2312" w:cs="仿宋_GB2312" w:eastAsia="仿宋_GB2312"/>
                <w:sz w:val="32"/>
              </w:rPr>
              <w:t>通过</w:t>
            </w:r>
            <w:r>
              <w:rPr>
                <w:rFonts w:ascii="仿宋_GB2312" w:hAnsi="仿宋_GB2312" w:cs="仿宋_GB2312" w:eastAsia="仿宋_GB2312"/>
                <w:sz w:val="32"/>
              </w:rPr>
              <w:t>按钮自行切换</w:t>
            </w:r>
            <w:r>
              <w:rPr>
                <w:rFonts w:ascii="仿宋_GB2312" w:hAnsi="仿宋_GB2312" w:cs="仿宋_GB2312" w:eastAsia="仿宋_GB2312"/>
                <w:sz w:val="32"/>
              </w:rPr>
              <w:t>速度</w:t>
            </w:r>
            <w:r>
              <w:rPr>
                <w:rFonts w:ascii="仿宋_GB2312" w:hAnsi="仿宋_GB2312" w:cs="仿宋_GB2312" w:eastAsia="仿宋_GB2312"/>
                <w:sz w:val="32"/>
              </w:rPr>
              <w:t>。</w:t>
            </w:r>
          </w:p>
          <w:p>
            <w:pPr>
              <w:pStyle w:val="null3"/>
              <w:jc w:val="both"/>
            </w:pPr>
            <w:r>
              <w:rPr>
                <w:rFonts w:ascii="仿宋_GB2312" w:hAnsi="仿宋_GB2312" w:cs="仿宋_GB2312" w:eastAsia="仿宋_GB2312"/>
                <w:sz w:val="32"/>
              </w:rPr>
              <w:t>16.具备≥5</w:t>
            </w:r>
            <w:r>
              <w:rPr>
                <w:rFonts w:ascii="仿宋_GB2312" w:hAnsi="仿宋_GB2312" w:cs="仿宋_GB2312" w:eastAsia="仿宋_GB2312"/>
                <w:sz w:val="32"/>
              </w:rPr>
              <w:t>安全</w:t>
            </w:r>
            <w:r>
              <w:rPr>
                <w:rFonts w:ascii="仿宋_GB2312" w:hAnsi="仿宋_GB2312" w:cs="仿宋_GB2312" w:eastAsia="仿宋_GB2312"/>
                <w:sz w:val="32"/>
              </w:rPr>
              <w:t>智能提示模式。</w:t>
            </w:r>
          </w:p>
          <w:p>
            <w:pPr>
              <w:pStyle w:val="null3"/>
              <w:jc w:val="both"/>
            </w:pPr>
            <w:r>
              <w:rPr>
                <w:rFonts w:ascii="仿宋_GB2312" w:hAnsi="仿宋_GB2312" w:cs="仿宋_GB2312" w:eastAsia="仿宋_GB2312"/>
                <w:sz w:val="32"/>
              </w:rPr>
              <w:t>17.主机支持≥4种一体化推进器。</w:t>
            </w:r>
          </w:p>
          <w:p>
            <w:pPr>
              <w:pStyle w:val="null3"/>
              <w:jc w:val="both"/>
            </w:pPr>
            <w:r>
              <w:rPr>
                <w:rFonts w:ascii="仿宋_GB2312" w:hAnsi="仿宋_GB2312" w:cs="仿宋_GB2312" w:eastAsia="仿宋_GB2312"/>
                <w:sz w:val="32"/>
              </w:rPr>
              <w:t>▲18.一体化推进器尺寸1.25mm-2.50mm。</w:t>
            </w:r>
          </w:p>
          <w:p>
            <w:pPr>
              <w:pStyle w:val="null3"/>
              <w:jc w:val="both"/>
            </w:pPr>
            <w:r>
              <w:rPr>
                <w:rFonts w:ascii="仿宋_GB2312" w:hAnsi="仿宋_GB2312" w:cs="仿宋_GB2312" w:eastAsia="仿宋_GB2312"/>
                <w:sz w:val="32"/>
              </w:rPr>
              <w:t>19</w:t>
            </w:r>
            <w:r>
              <w:rPr>
                <w:rFonts w:ascii="仿宋_GB2312" w:hAnsi="仿宋_GB2312" w:cs="仿宋_GB2312" w:eastAsia="仿宋_GB2312"/>
                <w:sz w:val="32"/>
              </w:rPr>
              <w:t>.操作模式：连续或单独激发，随时可暂停。</w:t>
            </w:r>
          </w:p>
          <w:p>
            <w:pPr>
              <w:pStyle w:val="null3"/>
              <w:jc w:val="both"/>
            </w:pPr>
            <w:r>
              <w:rPr>
                <w:rFonts w:ascii="仿宋_GB2312" w:hAnsi="仿宋_GB2312" w:cs="仿宋_GB2312" w:eastAsia="仿宋_GB2312"/>
                <w:sz w:val="32"/>
              </w:rPr>
              <w:t>20.</w:t>
            </w:r>
            <w:r>
              <w:rPr>
                <w:rFonts w:ascii="仿宋_GB2312" w:hAnsi="仿宋_GB2312" w:cs="仿宋_GB2312" w:eastAsia="仿宋_GB2312"/>
                <w:sz w:val="32"/>
              </w:rPr>
              <w:t>输出参数：脉冲频率</w:t>
            </w:r>
            <w:r>
              <w:rPr>
                <w:rFonts w:ascii="仿宋_GB2312" w:hAnsi="仿宋_GB2312" w:cs="仿宋_GB2312" w:eastAsia="仿宋_GB2312"/>
                <w:sz w:val="32"/>
              </w:rPr>
              <w:t>≤</w:t>
            </w:r>
            <w:r>
              <w:rPr>
                <w:rFonts w:ascii="仿宋_GB2312" w:hAnsi="仿宋_GB2312" w:cs="仿宋_GB2312" w:eastAsia="仿宋_GB2312"/>
                <w:sz w:val="32"/>
              </w:rPr>
              <w:t>1Hz;脉冲时间间隔：1s±0.</w:t>
            </w:r>
            <w:r>
              <w:rPr>
                <w:rFonts w:ascii="仿宋_GB2312" w:hAnsi="仿宋_GB2312" w:cs="仿宋_GB2312" w:eastAsia="仿宋_GB2312"/>
                <w:sz w:val="32"/>
              </w:rPr>
              <w:t>2</w:t>
            </w:r>
            <w:r>
              <w:rPr>
                <w:rFonts w:ascii="仿宋_GB2312" w:hAnsi="仿宋_GB2312" w:cs="仿宋_GB2312" w:eastAsia="仿宋_GB2312"/>
                <w:sz w:val="32"/>
              </w:rPr>
              <w:t>s;</w:t>
            </w:r>
            <w:r>
              <w:rPr>
                <w:rFonts w:ascii="仿宋_GB2312" w:hAnsi="仿宋_GB2312" w:cs="仿宋_GB2312" w:eastAsia="仿宋_GB2312"/>
              </w:rPr>
              <w:t xml:space="preserve"> </w:t>
            </w:r>
            <w:r>
              <w:rPr>
                <w:rFonts w:ascii="仿宋_GB2312" w:hAnsi="仿宋_GB2312" w:cs="仿宋_GB2312" w:eastAsia="仿宋_GB2312"/>
                <w:sz w:val="32"/>
              </w:rPr>
              <w:t>输出脉冲宽度：脉冲宽度</w:t>
            </w:r>
            <w:r>
              <w:rPr>
                <w:rFonts w:ascii="仿宋_GB2312" w:hAnsi="仿宋_GB2312" w:cs="仿宋_GB2312" w:eastAsia="仿宋_GB2312"/>
                <w:sz w:val="32"/>
              </w:rPr>
              <w:t>&gt;1us且≤100us;输出电压≥900V且≤3100V;</w:t>
            </w:r>
          </w:p>
          <w:p>
            <w:pPr>
              <w:pStyle w:val="null3"/>
              <w:jc w:val="both"/>
            </w:pPr>
            <w:r>
              <w:rPr>
                <w:rFonts w:ascii="仿宋_GB2312" w:hAnsi="仿宋_GB2312" w:cs="仿宋_GB2312" w:eastAsia="仿宋_GB2312"/>
                <w:sz w:val="32"/>
              </w:rPr>
              <w:t>21.</w:t>
            </w:r>
            <w:r>
              <w:rPr>
                <w:rFonts w:ascii="仿宋_GB2312" w:hAnsi="仿宋_GB2312" w:cs="仿宋_GB2312" w:eastAsia="仿宋_GB2312"/>
                <w:sz w:val="32"/>
              </w:rPr>
              <w:t>单次激发冲击波位点数：</w:t>
            </w:r>
            <w:r>
              <w:rPr>
                <w:rFonts w:ascii="仿宋_GB2312" w:hAnsi="仿宋_GB2312" w:cs="仿宋_GB2312" w:eastAsia="仿宋_GB2312"/>
                <w:sz w:val="32"/>
              </w:rPr>
              <w:t>≥</w:t>
            </w:r>
            <w:r>
              <w:rPr>
                <w:rFonts w:ascii="仿宋_GB2312" w:hAnsi="仿宋_GB2312" w:cs="仿宋_GB2312" w:eastAsia="仿宋_GB2312"/>
                <w:sz w:val="32"/>
              </w:rPr>
              <w:t>4个；</w:t>
            </w:r>
          </w:p>
          <w:p>
            <w:pPr>
              <w:pStyle w:val="null3"/>
              <w:jc w:val="both"/>
            </w:pPr>
          </w:p>
        </w:tc>
      </w:tr>
    </w:tbl>
    <w:p>
      <w:pPr>
        <w:pStyle w:val="null3"/>
        <w:outlineLvl w:val="2"/>
      </w:pPr>
      <w:r>
        <w:rPr>
          <w:rFonts w:ascii="仿宋_GB2312" w:hAnsi="仿宋_GB2312" w:cs="仿宋_GB2312" w:eastAsia="仿宋_GB2312"/>
          <w:sz w:val="28"/>
          <w:b/>
        </w:rPr>
        <w:t>3.4商务要求</w:t>
      </w:r>
    </w:p>
    <w:p>
      <w:pPr>
        <w:pStyle w:val="null3"/>
        <w:outlineLvl w:val="3"/>
      </w:pPr>
      <w:r>
        <w:rPr>
          <w:rFonts w:ascii="仿宋_GB2312" w:hAnsi="仿宋_GB2312" w:cs="仿宋_GB2312" w:eastAsia="仿宋_GB2312"/>
          <w:sz w:val="24"/>
          <w:b/>
        </w:rPr>
        <w:t>3.4.1交货时间</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自合同签订之日起60日历日</w:t>
      </w:r>
    </w:p>
    <w:p>
      <w:pPr>
        <w:pStyle w:val="null3"/>
        <w:outlineLvl w:val="3"/>
      </w:pPr>
      <w:r>
        <w:rPr>
          <w:rFonts w:ascii="仿宋_GB2312" w:hAnsi="仿宋_GB2312" w:cs="仿宋_GB2312" w:eastAsia="仿宋_GB2312"/>
          <w:sz w:val="24"/>
          <w:b/>
        </w:rPr>
        <w:t>3.4.2交货地点和方式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周至县人民医院指定地点</w:t>
      </w:r>
    </w:p>
    <w:p>
      <w:pPr>
        <w:pStyle w:val="null3"/>
        <w:outlineLvl w:val="3"/>
      </w:pPr>
      <w:r>
        <w:rPr>
          <w:rFonts w:ascii="仿宋_GB2312" w:hAnsi="仿宋_GB2312" w:cs="仿宋_GB2312" w:eastAsia="仿宋_GB2312"/>
          <w:sz w:val="24"/>
          <w:b/>
        </w:rPr>
        <w:t>3.4.3支付方式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3.4.4支付约定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设备安装调试完成，并经双方共同验收后，运行正常满一个月</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65.00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运行正常满六个月后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运行正常满三年后</w:t>
      </w:r>
      <w:r>
        <w:rPr>
          <w:rFonts w:ascii="仿宋_GB2312" w:hAnsi="仿宋_GB2312" w:cs="仿宋_GB2312" w:eastAsia="仿宋_GB2312"/>
        </w:rPr>
        <w:t xml:space="preserve"> ，达到付款条件起 </w:t>
      </w:r>
      <w:r>
        <w:rPr>
          <w:rFonts w:ascii="仿宋_GB2312" w:hAnsi="仿宋_GB2312" w:cs="仿宋_GB2312" w:eastAsia="仿宋_GB2312"/>
        </w:rPr>
        <w:t>5</w:t>
      </w:r>
      <w:r>
        <w:rPr>
          <w:rFonts w:ascii="仿宋_GB2312" w:hAnsi="仿宋_GB2312" w:cs="仿宋_GB2312" w:eastAsia="仿宋_GB2312"/>
        </w:rPr>
        <w:t xml:space="preserve"> 日内，支付合同总金额的 </w:t>
      </w:r>
      <w:r>
        <w:rPr>
          <w:rFonts w:ascii="仿宋_GB2312" w:hAnsi="仿宋_GB2312" w:cs="仿宋_GB2312" w:eastAsia="仿宋_GB2312"/>
        </w:rPr>
        <w:t>5.00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3.4.5验收标准和方法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outlineLvl w:val="3"/>
      </w:pPr>
      <w:r>
        <w:rPr>
          <w:rFonts w:ascii="仿宋_GB2312" w:hAnsi="仿宋_GB2312" w:cs="仿宋_GB2312" w:eastAsia="仿宋_GB2312"/>
          <w:sz w:val="24"/>
          <w:b/>
        </w:rPr>
        <w:t>3.4.6包装方式及运输</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outlineLvl w:val="3"/>
      </w:pPr>
      <w:r>
        <w:rPr>
          <w:rFonts w:ascii="仿宋_GB2312" w:hAnsi="仿宋_GB2312" w:cs="仿宋_GB2312" w:eastAsia="仿宋_GB2312"/>
          <w:sz w:val="24"/>
          <w:b/>
        </w:rPr>
        <w:t>3.4.7质量保修范围和保修期</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所有设备原厂三年质保</w:t>
      </w:r>
    </w:p>
    <w:p>
      <w:pPr>
        <w:pStyle w:val="null3"/>
        <w:outlineLvl w:val="3"/>
      </w:pPr>
      <w:r>
        <w:rPr>
          <w:rFonts w:ascii="仿宋_GB2312" w:hAnsi="仿宋_GB2312" w:cs="仿宋_GB2312" w:eastAsia="仿宋_GB2312"/>
          <w:sz w:val="24"/>
          <w:b/>
        </w:rPr>
        <w:t>3.4.8违约责任与解决争议的方法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根据采购文件要求、投标文件及合同约定执行</w:t>
      </w:r>
    </w:p>
    <w:p>
      <w:pPr>
        <w:pStyle w:val="null3"/>
        <w:jc w:val="left"/>
        <w:outlineLvl w:val="2"/>
      </w:pPr>
      <w:r>
        <w:rPr>
          <w:rFonts w:ascii="仿宋_GB2312" w:hAnsi="仿宋_GB2312" w:cs="仿宋_GB2312" w:eastAsia="仿宋_GB2312"/>
          <w:sz w:val="28"/>
          <w:b/>
        </w:rPr>
        <w:t>3.5其他要求</w:t>
      </w:r>
    </w:p>
    <w:p>
      <w:pPr>
        <w:pStyle w:val="null3"/>
      </w:pPr>
      <w:r>
        <w:rPr>
          <w:rFonts w:ascii="仿宋_GB2312" w:hAnsi="仿宋_GB2312" w:cs="仿宋_GB2312" w:eastAsia="仿宋_GB2312"/>
        </w:rPr>
        <w:t>/</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落实政府采购政策需满足的资格要求</w:t>
            </w:r>
          </w:p>
        </w:tc>
        <w:tc>
          <w:tcPr>
            <w:tcW w:type="dxa" w:w="3322"/>
          </w:tcPr>
          <w:p>
            <w:pPr>
              <w:pStyle w:val="null3"/>
            </w:pPr>
            <w:r>
              <w:rPr>
                <w:rFonts w:ascii="仿宋_GB2312" w:hAnsi="仿宋_GB2312" w:cs="仿宋_GB2312" w:eastAsia="仿宋_GB2312"/>
              </w:rPr>
              <w:t>(1)《关于在政府采购活动中查询及使用信用记录有关问题的通知》(财库〔2016〕125号);(2)《政府采购促进中小企业发展管理办法》(财库〔2020〕46号)、《关于进一步加大政府采购支持中小企业力度的通知》(财库〔2022〕19号)《关于政府采购支持监狱企业发展有关问题的通知》(财库〔2014〕68号)以及《关于促进残疾人就业政府采购政策的通知(财库〔2017〕141号);(3)财政部、国家发展改革委《关于印发〈节能产品政府采购实施意见〉的通知》(财库〔2004〕185号)、财政部、国家环保总局联合印发《关于环境标志产品政府采购实施的意见》(财库(2006〕90号)、国务院办公厅《关于建立政府强制采购节能产品制度的通知》(国办发〔2007〕51号)、财政部、国家发改委、生态环境部等部门联合印发《关于调整优化节能产品、环境标志产品政府采 购执行机制的通知》(财库〔2019〕9号);(4)《陕西省财政厅关于加快推进我省中小企业政府采购信用融资工作的通知》(陕财办采〔2020〕15号)、陕西省财政厅关于印发《陕西省中小企业政府采购信用融资办法》(陕财办采〔2018〕23号);(5)其他需要落实的政府采购政策。 本项目非专门面向中小企业。</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有效的主体资格证明</w:t>
            </w:r>
          </w:p>
        </w:tc>
        <w:tc>
          <w:tcPr>
            <w:tcW w:type="dxa" w:w="3322"/>
          </w:tcPr>
          <w:p>
            <w:pPr>
              <w:pStyle w:val="null3"/>
            </w:pPr>
            <w:r>
              <w:rPr>
                <w:rFonts w:ascii="仿宋_GB2312" w:hAnsi="仿宋_GB2312" w:cs="仿宋_GB2312" w:eastAsia="仿宋_GB2312"/>
              </w:rPr>
              <w:t>在中华人民共和国境内注册，依法取得并有效存续的营业执照（含电子营业执照）/事业单位法人证书/民办非企业单位登记证书/非企业专业服务机构执业许可证等。</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财务状况报告（任选其一）</w:t>
            </w:r>
          </w:p>
        </w:tc>
        <w:tc>
          <w:tcPr>
            <w:tcW w:type="dxa" w:w="3322"/>
          </w:tcPr>
          <w:p>
            <w:pPr>
              <w:pStyle w:val="null3"/>
            </w:pPr>
            <w:r>
              <w:rPr>
                <w:rFonts w:ascii="仿宋_GB2312" w:hAnsi="仿宋_GB2312" w:cs="仿宋_GB2312" w:eastAsia="仿宋_GB2312"/>
              </w:rPr>
              <w:t>2023、2024、2025任意一年度经审计的财务会计报告（至少包括审计报告、资产负债表和利润表，成立时间至提交响应文件截止时间不足一年的可提供成立后任意时段的资产负债表）；或 提交响应文件截止时间三个月内其基本账户开户银行出具的资信证明（附基本存款账户信息）。</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社保资金缴纳证明</w:t>
            </w:r>
          </w:p>
        </w:tc>
        <w:tc>
          <w:tcPr>
            <w:tcW w:type="dxa" w:w="3322"/>
          </w:tcPr>
          <w:p>
            <w:pPr>
              <w:pStyle w:val="null3"/>
            </w:pPr>
            <w:r>
              <w:rPr>
                <w:rFonts w:ascii="仿宋_GB2312" w:hAnsi="仿宋_GB2312" w:cs="仿宋_GB2312" w:eastAsia="仿宋_GB2312"/>
              </w:rPr>
              <w:t>提交响应文件截止时间前一年内至少一个月的社会保障资金缴存单据或社保机构开具的社会保险参保缴费情况证明，单据或证明上应有社保机构或代收机构的公章或业务专用章。</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提交响应文件截止时间前一年内至少一个月的纳税证明或完税证明（时间以税款所属时期为准），纳税证明或完税证明上应有代收机构或税务机关的公章或业务专用章；依法免税的投标人应提供相关文件证明。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无重大违法记录声明</w:t>
            </w:r>
          </w:p>
        </w:tc>
        <w:tc>
          <w:tcPr>
            <w:tcW w:type="dxa" w:w="3322"/>
          </w:tcPr>
          <w:p>
            <w:pPr>
              <w:pStyle w:val="null3"/>
            </w:pPr>
            <w:r>
              <w:rPr>
                <w:rFonts w:ascii="仿宋_GB2312" w:hAnsi="仿宋_GB2312" w:cs="仿宋_GB2312" w:eastAsia="仿宋_GB2312"/>
              </w:rPr>
              <w:t>参加本次采购活动前 3 年内在经营活动中没有重大违法记录，以及未被列入失信被执行人、重大税收违法案件当事人名单的书面声明。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法定代表人（主要负责人）委托授权书/身份证明</w:t>
            </w:r>
          </w:p>
        </w:tc>
        <w:tc>
          <w:tcPr>
            <w:tcW w:type="dxa" w:w="3322"/>
          </w:tcPr>
          <w:p>
            <w:pPr>
              <w:pStyle w:val="null3"/>
            </w:pPr>
            <w:r>
              <w:rPr>
                <w:rFonts w:ascii="仿宋_GB2312" w:hAnsi="仿宋_GB2312" w:cs="仿宋_GB2312" w:eastAsia="仿宋_GB2312"/>
              </w:rPr>
              <w:t>法定代表人（主要负责人）委托代理人参加投标时，应提供法定代表人（主要负责人）委托授权书；法定代表人（主要负责人）亲自参加投标时，应提供法定代表人（主要负责人）身份证明书。</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信用记录审查结果</w:t>
            </w:r>
          </w:p>
        </w:tc>
        <w:tc>
          <w:tcPr>
            <w:tcW w:type="dxa" w:w="3322"/>
          </w:tcPr>
          <w:p>
            <w:pPr>
              <w:pStyle w:val="null3"/>
            </w:pPr>
            <w:r>
              <w:rPr>
                <w:rFonts w:ascii="仿宋_GB2312" w:hAnsi="仿宋_GB2312" w:cs="仿宋_GB2312" w:eastAsia="仿宋_GB2312"/>
              </w:rPr>
              <w:t>投标人不得为“信用中国”网站（www.creditchina.gov.cn）中列入失信被执行人和重大税收违法案件当事人名单的供应商，不得为中国政府采购网（www.ccgp.gov.cn）政府采购严重违法失信行为记录名单中被财政部门禁止参加政府采购活动的供应商（开标现场查询，投标人自行声明，不需要附截图）。</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特定资格1</w:t>
            </w:r>
          </w:p>
        </w:tc>
        <w:tc>
          <w:tcPr>
            <w:tcW w:type="dxa" w:w="3322"/>
          </w:tcPr>
          <w:p>
            <w:pPr>
              <w:pStyle w:val="null3"/>
            </w:pPr>
            <w:r>
              <w:rPr>
                <w:rFonts w:ascii="仿宋_GB2312" w:hAnsi="仿宋_GB2312" w:cs="仿宋_GB2312" w:eastAsia="仿宋_GB2312"/>
              </w:rPr>
              <w:t>供应商须提供医疗器械经营许可证或备案凭证（所响应产品须在其经营范围内）和所响应产品的医疗器械产品注册证及其附件或备案凭证及所响应产品的医疗器械生产许可证或备案凭证，所投产品为进口的须提供进口医疗器械进字号注册证。</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特定资格2</w:t>
            </w:r>
          </w:p>
        </w:tc>
        <w:tc>
          <w:tcPr>
            <w:tcW w:type="dxa" w:w="3322"/>
          </w:tcPr>
          <w:p>
            <w:pPr>
              <w:pStyle w:val="null3"/>
            </w:pPr>
            <w:r>
              <w:rPr>
                <w:rFonts w:ascii="仿宋_GB2312" w:hAnsi="仿宋_GB2312" w:cs="仿宋_GB2312" w:eastAsia="仿宋_GB2312"/>
              </w:rPr>
              <w:t>所投产品为进口的，投标人需提供产品厂家对所投产品的授权，或具有授权权限的代理商对所投产品的授权书（且需提供该代理商具有有效授权权限的相关证明文件，证明文件需能显示产品制造厂家对所投产品授权链条的完整性）；所投产品为国产的，提供国产产品书面声明。</w:t>
            </w:r>
          </w:p>
        </w:tc>
        <w:tc>
          <w:tcPr>
            <w:tcW w:type="dxa" w:w="1661"/>
          </w:tcPr>
          <w:p>
            <w:pPr>
              <w:pStyle w:val="null3"/>
            </w:pPr>
            <w:r>
              <w:rPr>
                <w:rFonts w:ascii="仿宋_GB2312" w:hAnsi="仿宋_GB2312" w:cs="仿宋_GB2312" w:eastAsia="仿宋_GB2312"/>
              </w:rPr>
              <w:t>投标人应提交的相关资格证明材料.docx</w:t>
            </w:r>
          </w:p>
        </w:tc>
      </w:tr>
      <w:tr>
        <w:tc>
          <w:tcPr>
            <w:tcW w:type="dxa" w:w="831"/>
          </w:tcPr>
          <w:p>
            <w:pPr>
              <w:pStyle w:val="null3"/>
            </w:pPr>
            <w:r>
              <w:rPr>
                <w:rFonts w:ascii="仿宋_GB2312" w:hAnsi="仿宋_GB2312" w:cs="仿宋_GB2312" w:eastAsia="仿宋_GB2312"/>
              </w:rPr>
              <w:t>10</w:t>
            </w:r>
          </w:p>
        </w:tc>
        <w:tc>
          <w:tcPr>
            <w:tcW w:type="dxa" w:w="2492"/>
          </w:tcPr>
          <w:p>
            <w:pPr>
              <w:pStyle w:val="null3"/>
            </w:pPr>
            <w:r>
              <w:rPr>
                <w:rFonts w:ascii="仿宋_GB2312" w:hAnsi="仿宋_GB2312" w:cs="仿宋_GB2312" w:eastAsia="仿宋_GB2312"/>
              </w:rPr>
              <w:t>本项目不接受联合体投标</w:t>
            </w:r>
          </w:p>
        </w:tc>
        <w:tc>
          <w:tcPr>
            <w:tcW w:type="dxa" w:w="3322"/>
          </w:tcPr>
          <w:p>
            <w:pPr>
              <w:pStyle w:val="null3"/>
            </w:pPr>
            <w:r>
              <w:rPr>
                <w:rFonts w:ascii="仿宋_GB2312" w:hAnsi="仿宋_GB2312" w:cs="仿宋_GB2312" w:eastAsia="仿宋_GB2312"/>
              </w:rPr>
              <w:t>非联合体投标声明函</w:t>
            </w:r>
          </w:p>
        </w:tc>
        <w:tc>
          <w:tcPr>
            <w:tcW w:type="dxa" w:w="1661"/>
          </w:tcPr>
          <w:p>
            <w:pPr>
              <w:pStyle w:val="null3"/>
            </w:pPr>
            <w:r>
              <w:rPr>
                <w:rFonts w:ascii="仿宋_GB2312" w:hAnsi="仿宋_GB2312" w:cs="仿宋_GB2312" w:eastAsia="仿宋_GB2312"/>
              </w:rPr>
              <w:t>投标人应提交的相关资格证明材料.docx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 xml:space="preserve"> 二、评审工作由代理机构组织，具体评审事务由依法组建的磋商小组负责。</w:t>
      </w:r>
    </w:p>
    <w:p>
      <w:pPr>
        <w:pStyle w:val="null3"/>
        <w:ind w:firstLine="480"/>
      </w:pPr>
      <w:r>
        <w:rPr>
          <w:rFonts w:ascii="仿宋_GB2312" w:hAnsi="仿宋_GB2312" w:cs="仿宋_GB2312" w:eastAsia="仿宋_GB2312"/>
        </w:rPr>
        <w:t xml:space="preserve"> 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 xml:space="preserve"> 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（三）根据需要要求供应商对响应文件中含义不明确、同类问题表述不一致或者有明显文字和计算错误的内容等作出必要的澄清、说明或者更正；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（五）起草评审报告并进行签署；</w:t>
      </w:r>
    </w:p>
    <w:p>
      <w:pPr>
        <w:pStyle w:val="null3"/>
        <w:ind w:firstLine="480"/>
      </w:pPr>
      <w:r>
        <w:rPr>
          <w:rFonts w:ascii="仿宋_GB2312" w:hAnsi="仿宋_GB2312" w:cs="仿宋_GB2312" w:eastAsia="仿宋_GB2312"/>
        </w:rPr>
        <w:t xml:space="preserve"> （六）向采购人、代理机构、财政部门或者其他监督部门报告非法干预评审工作的行为；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6.3.1审查磋商文件和停止评审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（一）磋商文件的规定存在歧义、重大缺陷，导致评审无法进行的；</w:t>
      </w:r>
    </w:p>
    <w:p>
      <w:pPr>
        <w:pStyle w:val="null3"/>
        <w:ind w:firstLine="480"/>
      </w:pPr>
      <w:r>
        <w:rPr>
          <w:rFonts w:ascii="仿宋_GB2312" w:hAnsi="仿宋_GB2312" w:cs="仿宋_GB2312" w:eastAsia="仿宋_GB2312"/>
        </w:rPr>
        <w:t xml:space="preserve"> （二）磋商文件明显以不合理条件对供应商实行差别待遇或者歧视待遇的；</w:t>
      </w:r>
    </w:p>
    <w:p>
      <w:pPr>
        <w:pStyle w:val="null3"/>
        <w:ind w:firstLine="480"/>
      </w:pPr>
      <w:r>
        <w:rPr>
          <w:rFonts w:ascii="仿宋_GB2312" w:hAnsi="仿宋_GB2312" w:cs="仿宋_GB2312" w:eastAsia="仿宋_GB2312"/>
        </w:rPr>
        <w:t xml:space="preserve"> （三）采购项目属于国家规定的优先、强制采购范围，但是磋商文件未依法体现优先、强制采购相关规定的；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 xml:space="preserve"> （四）采购项目属于政府采购促进中小企业发展的范围，但是磋商文件未依法体现促进中小企业发展相关规定的；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符合性审查标准见下表（按以下顺序审查）：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2.投标（响应）报价低于通过符合性审查的次低报价供应商投标（响应）报价50%的，即投标（响应）报价&lt;通过符合性审查的次低报价供应商投标（响应）报价×50%；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报价是否超过招标文件中规定的预算金额或者最高限价</w:t>
            </w:r>
          </w:p>
        </w:tc>
        <w:tc>
          <w:tcPr>
            <w:tcW w:type="dxa" w:w="3322"/>
          </w:tcPr>
          <w:p>
            <w:pPr>
              <w:pStyle w:val="null3"/>
            </w:pPr>
            <w:r>
              <w:rPr>
                <w:rFonts w:ascii="仿宋_GB2312" w:hAnsi="仿宋_GB2312" w:cs="仿宋_GB2312" w:eastAsia="仿宋_GB2312"/>
              </w:rPr>
              <w:t>报价未超过招标文件中规定的预算金额或者最高限价</w:t>
            </w:r>
          </w:p>
        </w:tc>
        <w:tc>
          <w:tcPr>
            <w:tcW w:type="dxa" w:w="1661"/>
          </w:tcPr>
          <w:p>
            <w:pPr>
              <w:pStyle w:val="null3"/>
            </w:pPr>
            <w:r>
              <w:rPr>
                <w:rFonts w:ascii="仿宋_GB2312" w:hAnsi="仿宋_GB2312" w:cs="仿宋_GB2312" w:eastAsia="仿宋_GB2312"/>
              </w:rPr>
              <w:t>标的清单 报价表 响应函</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投标文件是否含有招标人不能接受的附加条件的或其他情形</w:t>
            </w:r>
          </w:p>
        </w:tc>
        <w:tc>
          <w:tcPr>
            <w:tcW w:type="dxa" w:w="3322"/>
          </w:tcPr>
          <w:p>
            <w:pPr>
              <w:pStyle w:val="null3"/>
            </w:pPr>
            <w:r>
              <w:rPr>
                <w:rFonts w:ascii="仿宋_GB2312" w:hAnsi="仿宋_GB2312" w:cs="仿宋_GB2312" w:eastAsia="仿宋_GB2312"/>
              </w:rPr>
              <w:t>投标文件未含有招标人不能接受的附加条件的或其他情形</w:t>
            </w:r>
          </w:p>
        </w:tc>
        <w:tc>
          <w:tcPr>
            <w:tcW w:type="dxa" w:w="1661"/>
          </w:tcPr>
          <w:p>
            <w:pPr>
              <w:pStyle w:val="null3"/>
            </w:pPr>
            <w:r>
              <w:rPr>
                <w:rFonts w:ascii="仿宋_GB2312" w:hAnsi="仿宋_GB2312" w:cs="仿宋_GB2312" w:eastAsia="仿宋_GB2312"/>
              </w:rPr>
              <w:t>响应文件封面 其它.docx 技术响应及偏离表.docx 商务和技术响应.docx 供应商企业关系关联承诺书.docx 商务应答表 标的清单 报价表 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是否存在法律、法规和招标文件规定的其他无效情形</w:t>
            </w:r>
          </w:p>
        </w:tc>
        <w:tc>
          <w:tcPr>
            <w:tcW w:type="dxa" w:w="3322"/>
          </w:tcPr>
          <w:p>
            <w:pPr>
              <w:pStyle w:val="null3"/>
            </w:pPr>
            <w:r>
              <w:rPr>
                <w:rFonts w:ascii="仿宋_GB2312" w:hAnsi="仿宋_GB2312" w:cs="仿宋_GB2312" w:eastAsia="仿宋_GB2312"/>
              </w:rPr>
              <w:t>不存在法律、法规和招标文件规定的其他无效情形</w:t>
            </w:r>
          </w:p>
        </w:tc>
        <w:tc>
          <w:tcPr>
            <w:tcW w:type="dxa" w:w="1661"/>
          </w:tcPr>
          <w:p>
            <w:pPr>
              <w:pStyle w:val="null3"/>
            </w:pPr>
            <w:r>
              <w:rPr>
                <w:rFonts w:ascii="仿宋_GB2312" w:hAnsi="仿宋_GB2312" w:cs="仿宋_GB2312" w:eastAsia="仿宋_GB2312"/>
              </w:rPr>
              <w:t>响应文件封面 其它.docx 技术响应及偏离表.docx 商务和技术响应.docx 供应商企业关系关联承诺书.docx 商务应答表 标的清单 报价表 响应函</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 xml:space="preserve"> 一、磋商小组按照磋商文件的规定与邀请参加磋商的供应商分别进行磋商，磋商顺序由磋商小组确定。磋商过程中，磋商小组可以根据磋商情况调整磋商轮次。</w:t>
      </w:r>
    </w:p>
    <w:p>
      <w:pPr>
        <w:pStyle w:val="null3"/>
        <w:ind w:firstLine="480"/>
      </w:pPr>
      <w:r>
        <w:rPr>
          <w:rFonts w:ascii="仿宋_GB2312" w:hAnsi="仿宋_GB2312" w:cs="仿宋_GB2312" w:eastAsia="仿宋_GB2312"/>
        </w:rPr>
        <w:t xml:space="preserve"> 二、磋商小组所有成员集中与单一供应商对技术、服务、合同条款等内容分别进行一轮或多轮的磋商。在磋商中，磋商的任何一方不得透露与磋商有关的其他供应商的技术资料、价格和其他信息。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 xml:space="preserve"> 四、对磋商文件作出的实质性变动是磋商文件的有效组成部分，磋商小组应通过项目电子化交易系统，将变动情况同时通知所有参加磋商的供应商。磋商过程中，磋商小组可以根据磋商情况调整磋商轮次。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 xml:space="preserve"> 五、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 xml:space="preserve"> 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 xml:space="preserve"> 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二、磋商小组开启报价后，供应商应随时关注项目电子化交易系统信息或短信提醒，登录项目电子化交易系统，通过“等候大厅”进行报价并签章后提交。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应当对其响应文件作无效处理，不允许进入综合评分，并通过项目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 xml:space="preserve"> 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 xml:space="preserve"> （二）单价金额小数点或者百分比有明显错位的，应以总价为准，并修改单价；</w:t>
      </w:r>
    </w:p>
    <w:p>
      <w:pPr>
        <w:pStyle w:val="null3"/>
        <w:ind w:firstLine="480"/>
      </w:pPr>
      <w:r>
        <w:rPr>
          <w:rFonts w:ascii="仿宋_GB2312" w:hAnsi="仿宋_GB2312" w:cs="仿宋_GB2312" w:eastAsia="仿宋_GB2312"/>
        </w:rPr>
        <w:t xml:space="preserve"> （三）总价金额与按单价汇总金额不一致的，以单价汇总金额计算结果为准；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 xml:space="preserve"> （一）供应商响应文件中不响应磋商文件规定的技术参数指标和商务应答；</w:t>
      </w:r>
    </w:p>
    <w:p>
      <w:pPr>
        <w:pStyle w:val="null3"/>
        <w:ind w:firstLine="480"/>
      </w:pPr>
      <w:r>
        <w:rPr>
          <w:rFonts w:ascii="仿宋_GB2312" w:hAnsi="仿宋_GB2312" w:cs="仿宋_GB2312" w:eastAsia="仿宋_GB2312"/>
        </w:rPr>
        <w:t xml:space="preserve"> （二）供应商响应文件中未提供的证明其是否符合磋商文件资格、符合性规定要求的相关材料。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 xml:space="preserve"> 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 xml:space="preserve"> 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 xml:space="preserve"> （四）评审情况记录和说明，包括对供应商响应文件审查情况、磋商情况、报价情况等；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详细评审70.00分</w:t>
            </w:r>
          </w:p>
          <w:p>
            <w:pPr>
              <w:pStyle w:val="null3"/>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产品参数要求</w:t>
            </w:r>
          </w:p>
        </w:tc>
        <w:tc>
          <w:tcPr>
            <w:tcW w:type="dxa" w:w="2492"/>
          </w:tcPr>
          <w:p>
            <w:pPr>
              <w:pStyle w:val="null3"/>
            </w:pPr>
            <w:r>
              <w:rPr>
                <w:rFonts w:ascii="仿宋_GB2312" w:hAnsi="仿宋_GB2312" w:cs="仿宋_GB2312" w:eastAsia="仿宋_GB2312"/>
              </w:rPr>
              <w:t>技术指标参数清晰、明确；产品类别、规格等完全满足招标文件要求，经评审专家审定内容无负偏差得24分，▲参数每负偏离一项扣2分（▲需提供相关证明，没有提供或者达不到技术要求的，均按照负偏离处理），其他参数每负偏离1项扣1分，扣完为止。注：1、正偏离视为满足招标文件要求 2、完全复制技术参数的，本项不得分。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技术响应及偏离表.docx</w:t>
            </w:r>
          </w:p>
        </w:tc>
      </w:tr>
      <w:tr>
        <w:tc>
          <w:tcPr>
            <w:tcW w:type="dxa" w:w="831"/>
            <w:vMerge/>
          </w:tcPr>
          <w:p/>
        </w:tc>
        <w:tc>
          <w:tcPr>
            <w:tcW w:type="dxa" w:w="1661"/>
          </w:tcPr>
          <w:p>
            <w:pPr>
              <w:pStyle w:val="null3"/>
            </w:pPr>
            <w:r>
              <w:rPr>
                <w:rFonts w:ascii="仿宋_GB2312" w:hAnsi="仿宋_GB2312" w:cs="仿宋_GB2312" w:eastAsia="仿宋_GB2312"/>
              </w:rPr>
              <w:t>实施方案</w:t>
            </w:r>
          </w:p>
        </w:tc>
        <w:tc>
          <w:tcPr>
            <w:tcW w:type="dxa" w:w="2492"/>
          </w:tcPr>
          <w:p>
            <w:pPr>
              <w:pStyle w:val="null3"/>
            </w:pPr>
            <w:r>
              <w:rPr>
                <w:rFonts w:ascii="仿宋_GB2312" w:hAnsi="仿宋_GB2312" w:cs="仿宋_GB2312" w:eastAsia="仿宋_GB2312"/>
              </w:rPr>
              <w:t>根据供应商提供的供货实施方案进行评审。方案内容包括但不限于： ①总体实施方案； ②计划进度安排； ③项目团队配备； ④验收方案； 方案各项内容全面详细、阐述条理清晰详尽、符合本项目采购需求，能有效保障本项目实施的进行综合评审，每项内容最高得4分，满分16分，未提供不得分。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应急预案及措施</w:t>
            </w:r>
          </w:p>
        </w:tc>
        <w:tc>
          <w:tcPr>
            <w:tcW w:type="dxa" w:w="2492"/>
          </w:tcPr>
          <w:p>
            <w:pPr>
              <w:pStyle w:val="null3"/>
            </w:pPr>
            <w:r>
              <w:rPr>
                <w:rFonts w:ascii="仿宋_GB2312" w:hAnsi="仿宋_GB2312" w:cs="仿宋_GB2312" w:eastAsia="仿宋_GB2312"/>
              </w:rPr>
              <w:t>提供针对本项目的突发事件应急预案及措施，包括但不限于不可抗力因素、停电、设备故障等，依据方案的完整性、可实施性进行综合评审，最高计5分，不提供不得分；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产品质量保证</w:t>
            </w:r>
          </w:p>
        </w:tc>
        <w:tc>
          <w:tcPr>
            <w:tcW w:type="dxa" w:w="2492"/>
          </w:tcPr>
          <w:p>
            <w:pPr>
              <w:pStyle w:val="null3"/>
            </w:pPr>
            <w:r>
              <w:rPr>
                <w:rFonts w:ascii="仿宋_GB2312" w:hAnsi="仿宋_GB2312" w:cs="仿宋_GB2312" w:eastAsia="仿宋_GB2312"/>
              </w:rPr>
              <w:t>根据投标人针对本项目所投产品的质量保证方案进行评审。提供质量保证方案。内容包括但不限于： ① 所有产品的合法来源渠道和生产厂家实力等证明材料； ②质量保证措施； ③质保期承诺。 以上各项内容全面明确、阐述条理清晰，依据每项方案的完整性、可实施性进行综合评审，每项内容最高得3分，满分9分，未提供不得分。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技术响应及偏离表.docx</w:t>
            </w:r>
          </w:p>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售后服务机构健全，提供售后服务方案，包括但不限于： ①售后服务机构承诺； ②售后服务保障措施； ③售后人员配置安排计划； ④故障处理响应时间； 以上各部分内容根据阐述的合理性、完整性、可行性情况进行赋分。每项内容最高得2分，满分8分，未提供不得分。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结合采购人需求针对本项目提供具有可行的技术培训方案，培训采购人使用人员，制定培训方案，培训方案应包括但不限于： ①操作维护方法； ②排除故障方法； ③培训计划安排； ④培训效果； 根据方案的完整性、可行性进行综合评审，每项内容最高计2分，满分8分，不提供不得分。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商务和技术响应.docx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采用低价优先法计算，即满足招标文件要求且投标报价最低的报价为评标基准价，其价格分为满分。 投标报价得分＝（评标基准价/投标报价）×30 。 对小型和微型企业的报价给予10%的价格扣除，用扣除后的价格参与评审；未提供中小企业声明函的不享受价格折扣。</w:t>
            </w:r>
          </w:p>
        </w:tc>
        <w:tc>
          <w:tcPr>
            <w:tcW w:type="dxa" w:w="831"/>
          </w:tcPr>
          <w:p>
            <w:pPr>
              <w:pStyle w:val="null3"/>
              <w:jc w:val="right"/>
            </w:pPr>
            <w:r>
              <w:rPr>
                <w:rFonts w:ascii="仿宋_GB2312" w:hAnsi="仿宋_GB2312" w:cs="仿宋_GB2312" w:eastAsia="仿宋_GB2312"/>
              </w:rPr>
              <w:t>30.0000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 xml:space="preserve"> （二）按照客观、公正、审慎的原则，根据采购文件规定的评审程序、评审方法和评审标准进行独立评审；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 xml:space="preserve"> 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 xml:space="preserve"> （二）评审前，应当将通讯工具或者相关电子设备交由采购组织单位统一保管。</w:t>
      </w:r>
    </w:p>
    <w:p>
      <w:pPr>
        <w:pStyle w:val="null3"/>
        <w:ind w:firstLine="480"/>
      </w:pPr>
      <w:r>
        <w:rPr>
          <w:rFonts w:ascii="仿宋_GB2312" w:hAnsi="仿宋_GB2312" w:cs="仿宋_GB2312" w:eastAsia="仿宋_GB2312"/>
        </w:rPr>
        <w:t xml:space="preserve"> （三）评审过程中，不得与外界联系，因发生不可预见情况，确实需要与外界联系的， 应当在监督人员监督之下办理。</w:t>
      </w:r>
    </w:p>
    <w:p>
      <w:pPr>
        <w:pStyle w:val="null3"/>
        <w:ind w:firstLine="480"/>
      </w:pPr>
      <w:r>
        <w:rPr>
          <w:rFonts w:ascii="仿宋_GB2312" w:hAnsi="仿宋_GB2312" w:cs="仿宋_GB2312" w:eastAsia="仿宋_GB2312"/>
        </w:rPr>
        <w:t xml:space="preserve"> （四）评审过程中，不得干预或者影响正常评审工作，不得发表倾向性、引导性意见， 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 xml:space="preserve"> （六）服从评审现场采购组织单位的现场秩序管理，接受评审现场监督人员的合法监督。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详见附件：投标人应提交的相关资格证明材料.docx</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详见附件：技术响应及偏离表.docx</w:t>
      </w:r>
    </w:p>
    <w:p>
      <w:pPr>
        <w:pStyle w:val="null3"/>
        <w:ind w:firstLine="960"/>
      </w:pPr>
      <w:r>
        <w:rPr>
          <w:rFonts w:ascii="仿宋_GB2312" w:hAnsi="仿宋_GB2312" w:cs="仿宋_GB2312" w:eastAsia="仿宋_GB2312"/>
        </w:rPr>
        <w:t>详见附件：商务和技术响应.docx</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详见附件：供应商企业关系关联承诺书.docx</w:t>
      </w:r>
    </w:p>
    <w:p>
      <w:pPr>
        <w:pStyle w:val="null3"/>
        <w:ind w:firstLine="960"/>
      </w:pPr>
      <w:r>
        <w:rPr>
          <w:rFonts w:ascii="仿宋_GB2312" w:hAnsi="仿宋_GB2312" w:cs="仿宋_GB2312" w:eastAsia="仿宋_GB2312"/>
        </w:rPr>
        <w:t>详见附件：其它.docx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详见附件：合同模板.docx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