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版本号：FHGJ-ZZ-2025--128.1.2B120260303001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周至县福彩管理站电力设施及电梯采购安装项目(二次)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FHGJ-ZZ-2025--128.1.2B1</w:t>
      </w:r>
      <w:r>
        <w:br/>
      </w:r>
      <w:r>
        <w:br/>
      </w:r>
      <w:r>
        <w:br/>
      </w:r>
    </w:p>
    <w:p>
      <w:pPr>
        <w:pStyle w:val="null3"/>
        <w:jc w:val="center"/>
        <w:outlineLvl w:val="2"/>
      </w:pPr>
      <w:r>
        <w:rPr>
          <w:rFonts w:ascii="仿宋_GB2312" w:hAnsi="仿宋_GB2312" w:cs="仿宋_GB2312" w:eastAsia="仿宋_GB2312"/>
          <w:sz w:val="28"/>
          <w:b/>
        </w:rPr>
        <w:t>西安市周至县民政局（本级）</w:t>
      </w:r>
    </w:p>
    <w:p>
      <w:pPr>
        <w:pStyle w:val="null3"/>
        <w:jc w:val="center"/>
        <w:outlineLvl w:val="2"/>
      </w:pPr>
      <w:r>
        <w:rPr>
          <w:rFonts w:ascii="仿宋_GB2312" w:hAnsi="仿宋_GB2312" w:cs="仿宋_GB2312" w:eastAsia="仿宋_GB2312"/>
          <w:sz w:val="28"/>
          <w:b/>
        </w:rPr>
        <w:t>丰汇国际项目管理有限公司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丰汇国际项目管理有限公司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西安市周至县民政局（本级）</w:t>
      </w:r>
      <w:r>
        <w:rPr>
          <w:rFonts w:ascii="仿宋_GB2312" w:hAnsi="仿宋_GB2312" w:cs="仿宋_GB2312" w:eastAsia="仿宋_GB2312"/>
        </w:rPr>
        <w:t>委托，拟对</w:t>
      </w:r>
      <w:r>
        <w:rPr>
          <w:rFonts w:ascii="仿宋_GB2312" w:hAnsi="仿宋_GB2312" w:cs="仿宋_GB2312" w:eastAsia="仿宋_GB2312"/>
        </w:rPr>
        <w:t>周至县福彩管理站电力设施及电梯采购安装项目(二次)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FHGJ-ZZ-2025--128.1.2B1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周至县福彩管理站电力设施及电梯采购安装项目(二次)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周至县福彩管理站电力设施及电梯采购安装项目，具体要求详见采购清单。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采购包1（周至县福彩管理站电梯采购安装项目）：属于专门面向中小企业采购。</w:t>
      </w:r>
    </w:p>
    <w:p>
      <w:pPr>
        <w:pStyle w:val="null3"/>
      </w:pPr>
      <w:r>
        <w:rPr>
          <w:rFonts w:ascii="仿宋_GB2312" w:hAnsi="仿宋_GB2312" w:cs="仿宋_GB2312" w:eastAsia="仿宋_GB2312"/>
        </w:rPr>
        <w:t>供应商以联合体形式参加本采购包的，联合体各方应当为中小企业。</w:t>
      </w:r>
    </w:p>
    <w:p>
      <w:pPr>
        <w:pStyle w:val="null3"/>
      </w:pPr>
      <w:r>
        <w:rPr>
          <w:rFonts w:ascii="仿宋_GB2312" w:hAnsi="仿宋_GB2312" w:cs="仿宋_GB2312" w:eastAsia="仿宋_GB2312"/>
        </w:rPr>
        <w:t>采购包2（周至县民政局福彩管理站315kVA变压器用电工程）：属于专门面向中小企业采购。</w:t>
      </w:r>
    </w:p>
    <w:p>
      <w:pPr>
        <w:pStyle w:val="null3"/>
      </w:pPr>
      <w:r>
        <w:rPr>
          <w:rFonts w:ascii="仿宋_GB2312" w:hAnsi="仿宋_GB2312" w:cs="仿宋_GB2312" w:eastAsia="仿宋_GB2312"/>
        </w:rPr>
        <w:t>供应商以联合体形式参加本采购包的，联合体各方应当为中小企业。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企业资质：（1）供应商需具备钢结构工程专业承包三级及以上资质，具备有效的安全生产许可证；（2）供应商为电梯生产制造商的，须提供《中华人民共和国特种设备生产许可证》电梯制造（含安装、修理、改造）；供应商为电梯经销商（代理商）的，须提供《中华人民共和国特种设备生产许可证》电梯安装（含修理）及电梯生产制造商的《中华人民共和国特种设备生产许可证》电梯制造（含安装、修理、改造）。</w:t>
      </w:r>
    </w:p>
    <w:p>
      <w:pPr>
        <w:pStyle w:val="null3"/>
      </w:pPr>
      <w:r>
        <w:rPr>
          <w:rFonts w:ascii="仿宋_GB2312" w:hAnsi="仿宋_GB2312" w:cs="仿宋_GB2312" w:eastAsia="仿宋_GB2312"/>
        </w:rPr>
        <w:t>3、企业信用：供应商不得为“中国执行信息公开网”网站中列入失信被执行人和“信用中国”网站中列入重大税收违法失信主体的供应商，不得为“中国政府采购网”政府采购严重违法失信行为记录名单中被财政部门禁止参加政府采购活动的供应商；采购代理机构于投标截止日当天在网站的查询结果为准（截图留存）。</w:t>
      </w:r>
    </w:p>
    <w:p>
      <w:pPr>
        <w:pStyle w:val="null3"/>
      </w:pPr>
      <w:r>
        <w:rPr>
          <w:rFonts w:ascii="仿宋_GB2312" w:hAnsi="仿宋_GB2312" w:cs="仿宋_GB2312" w:eastAsia="仿宋_GB2312"/>
        </w:rPr>
        <w:t>4、拟派项目负责人资质及专业要求：拟派项目负责人须具备建筑工程专业二级（或以上）注册建造师执业资格，具备有效的安全生产考核合格证书（建安B证），且无在建项目。</w:t>
      </w:r>
    </w:p>
    <w:p>
      <w:pPr>
        <w:pStyle w:val="null3"/>
      </w:pPr>
      <w:r>
        <w:rPr>
          <w:rFonts w:ascii="仿宋_GB2312" w:hAnsi="仿宋_GB2312" w:cs="仿宋_GB2312" w:eastAsia="仿宋_GB2312"/>
        </w:rPr>
        <w:t>5、拟派技术负责人：拟派技术负责人需具备《中华人民共和国特种设备作业人员证》（电梯专业）</w:t>
      </w:r>
    </w:p>
    <w:p>
      <w:pPr>
        <w:pStyle w:val="null3"/>
      </w:pPr>
      <w:r>
        <w:rPr>
          <w:rFonts w:ascii="仿宋_GB2312" w:hAnsi="仿宋_GB2312" w:cs="仿宋_GB2312" w:eastAsia="仿宋_GB2312"/>
        </w:rPr>
        <w:t>6、联合体磋商：本项目接受联合体投标（若为联合体，提供联合体协议书）。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企业资质：供应商须具备电力工程施工总承包三级及以上资质或输变电工程专业承包三级或以上资质具有有效的安全生产许可证，同时具备承装（修、试）电力设施许可证（承装类、承修类）三级或以上资格，并在人员、设备、资金等方面具备相应的施工能力。</w:t>
      </w:r>
    </w:p>
    <w:p>
      <w:pPr>
        <w:pStyle w:val="null3"/>
      </w:pPr>
      <w:r>
        <w:rPr>
          <w:rFonts w:ascii="仿宋_GB2312" w:hAnsi="仿宋_GB2312" w:cs="仿宋_GB2312" w:eastAsia="仿宋_GB2312"/>
        </w:rPr>
        <w:t>3、企业信用：供应商不得为“中国执行信息公开网”网站中列入失信被执行人和“信用中国”网站中列入重大税收违法失信主体的供应商，不得为“中国政府采购网”政府采购严重违法失信行为记录名单中被财政部门禁止参加政府采购活动的供应商；采购代理机构于投标截止日当天在网站的查询结果为准（截图留存）</w:t>
      </w:r>
    </w:p>
    <w:p>
      <w:pPr>
        <w:pStyle w:val="null3"/>
      </w:pPr>
      <w:r>
        <w:rPr>
          <w:rFonts w:ascii="仿宋_GB2312" w:hAnsi="仿宋_GB2312" w:cs="仿宋_GB2312" w:eastAsia="仿宋_GB2312"/>
        </w:rPr>
        <w:t>4、拟派项目负责人资质及专业要求：拟派项目负责人须具有机电工程专业二级（或以上）注册建造师执业资格及有效的安全生产考核证且在本单位注册，未担任其他在建工程项目的项目负责人。</w:t>
      </w:r>
    </w:p>
    <w:p>
      <w:pPr>
        <w:pStyle w:val="null3"/>
      </w:pPr>
      <w:r>
        <w:rPr>
          <w:rFonts w:ascii="仿宋_GB2312" w:hAnsi="仿宋_GB2312" w:cs="仿宋_GB2312" w:eastAsia="仿宋_GB2312"/>
        </w:rPr>
        <w:t>5、联合体磋商：本项目接受联合体投标（若为联合体，提供联合体协议书）。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西安市周至县民政局（本级）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周至县人民政府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西安市周至县民政局（本级）经办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13384938266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丰汇国际项目管理有限公司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陕西省西安市碑林区长安北路（南稍门十字）大话南门壹中心13楼1309室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15109299905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采购包1：425,487.07元</w:t>
            </w:r>
          </w:p>
          <w:p>
            <w:pPr>
              <w:pStyle w:val="null3"/>
            </w:pPr>
            <w:r>
              <w:rPr>
                <w:rFonts w:ascii="仿宋_GB2312" w:hAnsi="仿宋_GB2312" w:cs="仿宋_GB2312" w:eastAsia="仿宋_GB2312"/>
              </w:rPr>
              <w:t>采购包2：244,772.54元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p>
          <w:p>
            <w:pPr>
              <w:pStyle w:val="null3"/>
            </w:pPr>
            <w:r>
              <w:rPr>
                <w:rFonts w:ascii="仿宋_GB2312" w:hAnsi="仿宋_GB2312" w:cs="仿宋_GB2312" w:eastAsia="仿宋_GB2312"/>
              </w:rPr>
              <w:t>采购包2：接受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考《国家计委关于印发&lt;招标代理服务收费管理暂行办法&gt;的通知》（计价格【2002】1980号）及《国家发改委关于降低部分建设项目收费标准规范收费行为等有关问题的通知》（发改价格[2011]534号）规定按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西安市周至县民政局（本级）</w:t>
      </w:r>
      <w:r>
        <w:rPr>
          <w:rFonts w:ascii="仿宋_GB2312" w:hAnsi="仿宋_GB2312" w:cs="仿宋_GB2312" w:eastAsia="仿宋_GB2312"/>
        </w:rPr>
        <w:t>和</w:t>
      </w:r>
      <w:r>
        <w:rPr>
          <w:rFonts w:ascii="仿宋_GB2312" w:hAnsi="仿宋_GB2312" w:cs="仿宋_GB2312" w:eastAsia="仿宋_GB2312"/>
        </w:rPr>
        <w:t>丰汇国际项目管理有限公司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西安市周至县民政局（本级）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丰汇国际项目管理有限公司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西安市周至县民政局（本级）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丰汇国际项目管理有限公司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符合国家现行技术规范合格标准及采购人要求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符合国家现行技术规范合格标准及采购人要求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联系人：张静</w:t>
      </w:r>
    </w:p>
    <w:p>
      <w:pPr>
        <w:pStyle w:val="null3"/>
      </w:pPr>
      <w:r>
        <w:rPr>
          <w:rFonts w:ascii="仿宋_GB2312" w:hAnsi="仿宋_GB2312" w:cs="仿宋_GB2312" w:eastAsia="仿宋_GB2312"/>
        </w:rPr>
        <w:t>联系电话：15109299905</w:t>
      </w:r>
    </w:p>
    <w:p>
      <w:pPr>
        <w:pStyle w:val="null3"/>
      </w:pPr>
      <w:r>
        <w:rPr>
          <w:rFonts w:ascii="仿宋_GB2312" w:hAnsi="仿宋_GB2312" w:cs="仿宋_GB2312" w:eastAsia="仿宋_GB2312"/>
        </w:rPr>
        <w:t>地址：陕西省西安市碑林区长安北路（南稍门十字）大话南门壹中心13楼1309室</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425,487.07</w:t>
      </w:r>
    </w:p>
    <w:p>
      <w:pPr>
        <w:pStyle w:val="null3"/>
      </w:pPr>
      <w:r>
        <w:rPr>
          <w:rFonts w:ascii="仿宋_GB2312" w:hAnsi="仿宋_GB2312" w:cs="仿宋_GB2312" w:eastAsia="仿宋_GB2312"/>
        </w:rPr>
        <w:t>采购包最高限价（元）: 425,487.07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周至县福彩管理站电梯采购安装项目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425,487.07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244,772.54</w:t>
      </w:r>
    </w:p>
    <w:p>
      <w:pPr>
        <w:pStyle w:val="null3"/>
      </w:pPr>
      <w:r>
        <w:rPr>
          <w:rFonts w:ascii="仿宋_GB2312" w:hAnsi="仿宋_GB2312" w:cs="仿宋_GB2312" w:eastAsia="仿宋_GB2312"/>
        </w:rPr>
        <w:t>采购包最高限价（元）: 244,772.54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周至县民政局福彩管理站315kVA变压器用电工程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244,772.54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标的名称：周至县福彩管理站电梯采购安装项目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b/>
              </w:rPr>
              <w:t>1.设备要求</w:t>
            </w:r>
            <w:r>
              <w:rPr>
                <w:rFonts w:ascii="仿宋_GB2312" w:hAnsi="仿宋_GB2312" w:cs="仿宋_GB2312" w:eastAsia="仿宋_GB2312"/>
                <w:sz w:val="18"/>
                <w:b/>
              </w:rPr>
              <w:t>及技术指标</w:t>
            </w:r>
            <w:r>
              <w:rPr>
                <w:rFonts w:ascii="仿宋_GB2312" w:hAnsi="仿宋_GB2312" w:cs="仿宋_GB2312" w:eastAsia="仿宋_GB2312"/>
                <w:sz w:val="18"/>
                <w:b/>
              </w:rPr>
              <w:t>：</w:t>
            </w:r>
          </w:p>
          <w:tbl>
            <w:tblPr>
              <w:tblInd w:type="dxa" w:w="120"/>
              <w:tblBorders>
                <w:top w:val="none" w:color="000000" w:sz="4"/>
                <w:left w:val="none" w:color="000000" w:sz="4"/>
                <w:bottom w:val="none" w:color="000000" w:sz="4"/>
                <w:right w:val="none" w:color="000000" w:sz="4"/>
                <w:insideH w:val="none"/>
                <w:insideV w:val="none"/>
              </w:tblBorders>
            </w:tblPr>
            <w:tblGrid>
              <w:gridCol w:w="356"/>
              <w:gridCol w:w="508"/>
              <w:gridCol w:w="2318"/>
            </w:tblGrid>
            <w:tr>
              <w:tc>
                <w:tcPr>
                  <w:tcW w:type="dxa" w:w="356"/>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19"/>
                      <w:b/>
                      <w:color w:val="000000"/>
                    </w:rPr>
                    <w:t>大类</w:t>
                  </w:r>
                </w:p>
              </w:tc>
              <w:tc>
                <w:tcPr>
                  <w:tcW w:type="dxa" w:w="508"/>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rFonts w:ascii="仿宋_GB2312" w:hAnsi="仿宋_GB2312" w:cs="仿宋_GB2312" w:eastAsia="仿宋_GB2312"/>
                      <w:sz w:val="19"/>
                      <w:b/>
                      <w:color w:val="000000"/>
                    </w:rPr>
                    <w:t>具体项目</w:t>
                  </w:r>
                </w:p>
              </w:tc>
              <w:tc>
                <w:tcPr>
                  <w:tcW w:type="dxa" w:w="2318"/>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b/>
                      <w:color w:val="000000"/>
                    </w:rPr>
                    <w:t>规格要求</w:t>
                  </w:r>
                </w:p>
              </w:tc>
            </w:tr>
            <w:tr>
              <w:tc>
                <w:tcPr>
                  <w:tcW w:type="dxa" w:w="356"/>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核心性能参数</w:t>
                  </w: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额定载重</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19"/>
                      <w:color w:val="000000"/>
                    </w:rPr>
                    <w:t>800kg（适配常见载客需求）</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额定速度</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19"/>
                      <w:color w:val="000000"/>
                    </w:rPr>
                    <w:t>1.0m/s</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服务层站</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6 层 6 站 6 门</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提升高度</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按建筑实际楼层高度设计</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控制方式</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单台控制</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操作系统</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全电脑全集选控制</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拖动系统</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交流变频变压（</w:t>
                  </w:r>
                  <w:r>
                    <w:rPr>
                      <w:rFonts w:ascii="仿宋_GB2312" w:hAnsi="仿宋_GB2312" w:cs="仿宋_GB2312" w:eastAsia="仿宋_GB2312"/>
                      <w:sz w:val="19"/>
                      <w:color w:val="000000"/>
                    </w:rPr>
                    <w:t>VVVF）无级调速无齿拖动系统</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曳引机类型</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永磁同步无齿轮曳引机</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曳引机安装位置</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井道顶部内</w:t>
                  </w:r>
                </w:p>
              </w:tc>
            </w:tr>
            <w:tr>
              <w:tc>
                <w:tcPr>
                  <w:tcW w:type="dxa" w:w="356"/>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尺寸参数</w:t>
                  </w: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井道尺寸（宽</w:t>
                  </w:r>
                  <w:r>
                    <w:rPr>
                      <w:rFonts w:ascii="仿宋_GB2312" w:hAnsi="仿宋_GB2312" w:cs="仿宋_GB2312" w:eastAsia="仿宋_GB2312"/>
                      <w:sz w:val="19"/>
                      <w:color w:val="000000"/>
                    </w:rPr>
                    <w:t>× 深）</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2200mm×2600mm（可按实际安装条件微调）</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轿厢尺寸（宽</w:t>
                  </w:r>
                  <w:r>
                    <w:rPr>
                      <w:rFonts w:ascii="仿宋_GB2312" w:hAnsi="仿宋_GB2312" w:cs="仿宋_GB2312" w:eastAsia="仿宋_GB2312"/>
                      <w:sz w:val="19"/>
                      <w:color w:val="000000"/>
                    </w:rPr>
                    <w:t>× 深 × 高）</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1400mm×1350mm×2500mm</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开门净尺寸（宽</w:t>
                  </w:r>
                  <w:r>
                    <w:rPr>
                      <w:rFonts w:ascii="仿宋_GB2312" w:hAnsi="仿宋_GB2312" w:cs="仿宋_GB2312" w:eastAsia="仿宋_GB2312"/>
                      <w:sz w:val="19"/>
                      <w:color w:val="000000"/>
                    </w:rPr>
                    <w:t>× 高）</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800mm×2100mm</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开门方式</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中分门</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顶层高度</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不低于</w:t>
                  </w:r>
                  <w:r>
                    <w:rPr>
                      <w:rFonts w:ascii="仿宋_GB2312" w:hAnsi="仿宋_GB2312" w:cs="仿宋_GB2312" w:eastAsia="仿宋_GB2312"/>
                      <w:sz w:val="19"/>
                      <w:color w:val="000000"/>
                    </w:rPr>
                    <w:t>4200mm</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底坑深度</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不低于</w:t>
                  </w:r>
                  <w:r>
                    <w:rPr>
                      <w:rFonts w:ascii="仿宋_GB2312" w:hAnsi="仿宋_GB2312" w:cs="仿宋_GB2312" w:eastAsia="仿宋_GB2312"/>
                      <w:sz w:val="19"/>
                      <w:color w:val="000000"/>
                    </w:rPr>
                    <w:t>1200mm</w:t>
                  </w:r>
                </w:p>
              </w:tc>
            </w:tr>
            <w:tr>
              <w:tc>
                <w:tcPr>
                  <w:tcW w:type="dxa" w:w="356"/>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安全性能参数</w:t>
                  </w: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门保护装置</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光幕保护系统，可检测门关闭过程中微小障碍物并快速开门</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安全保护系统</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含安全钳、限速器、缓冲器、极限开关、强迫减速开关等串联安全部件，任一环节动作可实现主机断电、轿厢制动</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超载保护</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超载时蜂鸣器报警，轿厢不关门、不启动</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停电应急功能</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应急照明自动启动；可选停电应急平层装置，实现轿厢自动就近层</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消防响应</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消防响应时间</w:t>
                  </w:r>
                  <w:r>
                    <w:rPr>
                      <w:rFonts w:ascii="仿宋_GB2312" w:hAnsi="仿宋_GB2312" w:cs="仿宋_GB2312" w:eastAsia="仿宋_GB2312"/>
                      <w:sz w:val="19"/>
                      <w:color w:val="000000"/>
                    </w:rPr>
                    <w:t>≤5S，接收火警信号后自动返回消防层疏散乘客</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超速保护</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超速动作阈值</w:t>
                  </w:r>
                  <w:r>
                    <w:rPr>
                      <w:rFonts w:ascii="仿宋_GB2312" w:hAnsi="仿宋_GB2312" w:cs="仿宋_GB2312" w:eastAsia="仿宋_GB2312"/>
                      <w:sz w:val="19"/>
                      <w:color w:val="000000"/>
                    </w:rPr>
                    <w:t>2.01m/s，超速动作响应时间≤1.5S</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电气系统防护等级</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IP21</w:t>
                  </w:r>
                </w:p>
              </w:tc>
            </w:tr>
            <w:tr>
              <w:tc>
                <w:tcPr>
                  <w:tcW w:type="dxa" w:w="356"/>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运行环境与噪声振动</w:t>
                  </w: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运行噪声（轿厢内）</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≤50dB（A）</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运行噪声（井道内）</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≤62dB（A）</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开关门噪声（轿厢侧）</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≤62dB（A）</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开关门噪声（门厅侧）</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≤55dB（A）</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垂直振动（全程）</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≤20cm/s²</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水平振动（全程）</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≤12cm/s²</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工作环境温度</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-20℃~45℃</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工作环境湿度</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0~90%（无凝结）</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工作海拔高度</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≤1000m</w:t>
                  </w:r>
                </w:p>
              </w:tc>
            </w:tr>
            <w:tr>
              <w:tc>
                <w:tcPr>
                  <w:tcW w:type="dxa" w:w="356"/>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节能与环保参数</w:t>
                  </w: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节能性能</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变频变压调速系统，相比传统驱动系统节能</w:t>
                  </w:r>
                  <w:r>
                    <w:rPr>
                      <w:rFonts w:ascii="仿宋_GB2312" w:hAnsi="仿宋_GB2312" w:cs="仿宋_GB2312" w:eastAsia="仿宋_GB2312"/>
                      <w:sz w:val="19"/>
                      <w:color w:val="000000"/>
                    </w:rPr>
                    <w:t>30%-40%</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自动节能功能</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无呼梯时，照明、风扇延时关闭（延时时间</w:t>
                  </w:r>
                  <w:r>
                    <w:rPr>
                      <w:rFonts w:ascii="仿宋_GB2312" w:hAnsi="仿宋_GB2312" w:cs="仿宋_GB2312" w:eastAsia="仿宋_GB2312"/>
                      <w:sz w:val="19"/>
                      <w:color w:val="000000"/>
                    </w:rPr>
                    <w:t>300S-600S 可调）</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环保特性</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无齿轮箱设计，采用永久封闭轴承，无需润滑油；核心部件材料可回收</w:t>
                  </w:r>
                </w:p>
              </w:tc>
            </w:tr>
            <w:tr>
              <w:tc>
                <w:tcPr>
                  <w:tcW w:type="dxa" w:w="356"/>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控制与通讯参数</w:t>
                  </w: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控制系统</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模块化电脑控制系统，支持串行传输通讯网络</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通讯功能</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支持环型通讯网络，群控时无需单独群控柜</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自诊断功能</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具备先进自诊断程序，缩短故障维修时间</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派梯系统</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智能化集选、群控派梯，优化厅外呼梯响应速度，缩短候梯时间</w:t>
                  </w:r>
                </w:p>
              </w:tc>
            </w:tr>
            <w:tr>
              <w:tc>
                <w:tcPr>
                  <w:tcW w:type="dxa" w:w="356"/>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装潢与配置参数</w:t>
                  </w: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轿厢装潢（侧后围壁）</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金属材质搭配镜面装饰（或同等质感材料）</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轿厢装潢（前围壁）</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金属材质（或同等质感材料）</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轿厢装潢（轿门）</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金属材质（或同等质感材料）</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轿厢装潢（地板）</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大理石或同等质感装饰材料</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轿顶与照明</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shd w:fill="FFFFFF" w:val="clear"/>
                    </w:rPr>
                    <w:t>分体式轿顶</w:t>
                  </w:r>
                  <w:r>
                    <w:rPr>
                      <w:rFonts w:ascii="仿宋_GB2312" w:hAnsi="仿宋_GB2312" w:cs="仿宋_GB2312" w:eastAsia="仿宋_GB2312"/>
                      <w:sz w:val="19"/>
                      <w:shd w:fill="FFFFFF" w:val="clear"/>
                    </w:rPr>
                    <w:t>+ LED 照明</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通风设施</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低噪音风机通风</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操纵盘（设计</w:t>
                  </w:r>
                  <w:r>
                    <w:rPr>
                      <w:rFonts w:ascii="仿宋_GB2312" w:hAnsi="仿宋_GB2312" w:cs="仿宋_GB2312" w:eastAsia="仿宋_GB2312"/>
                      <w:sz w:val="19"/>
                      <w:color w:val="000000"/>
                    </w:rPr>
                    <w:t>/ 功能）</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一体式设计，含语音报站、盲文按钮</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操纵盘（面板</w:t>
                  </w:r>
                  <w:r>
                    <w:rPr>
                      <w:rFonts w:ascii="仿宋_GB2312" w:hAnsi="仿宋_GB2312" w:cs="仿宋_GB2312" w:eastAsia="仿宋_GB2312"/>
                      <w:sz w:val="19"/>
                      <w:color w:val="000000"/>
                    </w:rPr>
                    <w:t>/ 显示 / 按钮）</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面板为金属材质，采用断码液晶显示，微动按钮配</w:t>
                  </w:r>
                  <w:r>
                    <w:rPr>
                      <w:rFonts w:ascii="仿宋_GB2312" w:hAnsi="仿宋_GB2312" w:cs="仿宋_GB2312" w:eastAsia="仿宋_GB2312"/>
                      <w:sz w:val="19"/>
                      <w:color w:val="000000"/>
                    </w:rPr>
                    <w:t>LED 发光指示</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外呼装置（面板）</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不锈钢材质（无底盒）</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外呼装置（按钮</w:t>
                  </w:r>
                  <w:r>
                    <w:rPr>
                      <w:rFonts w:ascii="仿宋_GB2312" w:hAnsi="仿宋_GB2312" w:cs="仿宋_GB2312" w:eastAsia="仿宋_GB2312"/>
                      <w:sz w:val="19"/>
                      <w:color w:val="000000"/>
                    </w:rPr>
                    <w:t>/ 显示）</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微动按钮配</w:t>
                  </w:r>
                  <w:r>
                    <w:rPr>
                      <w:rFonts w:ascii="仿宋_GB2312" w:hAnsi="仿宋_GB2312" w:cs="仿宋_GB2312" w:eastAsia="仿宋_GB2312"/>
                      <w:sz w:val="19"/>
                      <w:color w:val="000000"/>
                    </w:rPr>
                    <w:t>LED 发光指示，4.3 寸断码液晶显示</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厅门及门套（首层）</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不锈钢材质（或同等质感材料）</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厅门及门套（其余楼层）</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同等质感装饰材料，门套类型为小门套</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通讯设施</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隐藏式对讲装置，支持紧急求援</w:t>
                  </w:r>
                </w:p>
              </w:tc>
            </w:tr>
            <w:tr>
              <w:tc>
                <w:tcPr>
                  <w:tcW w:type="dxa" w:w="356"/>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电力供应要求</w:t>
                  </w: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动力电源</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380V±7%，50Hz，3 相 5 线制（零线和地线分开设置）</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照明电源</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220V，50Hz，单相</w:t>
                  </w:r>
                </w:p>
              </w:tc>
            </w:tr>
            <w:tr>
              <w:tc>
                <w:tcPr>
                  <w:tcW w:type="dxa" w:w="356"/>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执行标准</w:t>
                  </w: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主要遵循标准</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遵循国家及行业相关特种设备安全、抗震、荷载规范</w:t>
                  </w:r>
                </w:p>
              </w:tc>
            </w:tr>
            <w:tr>
              <w:tc>
                <w:tcPr>
                  <w:tcW w:type="dxa" w:w="356"/>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通用功能配置</w:t>
                  </w: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常规控制功能</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无呼自返基站、厅门</w:t>
                  </w:r>
                  <w:r>
                    <w:rPr>
                      <w:rFonts w:ascii="仿宋_GB2312" w:hAnsi="仿宋_GB2312" w:cs="仿宋_GB2312" w:eastAsia="仿宋_GB2312"/>
                      <w:sz w:val="19"/>
                      <w:color w:val="000000"/>
                    </w:rPr>
                    <w:t>/ 轿门开关时间独立设定、全集选控制、独立服务、驻停、有司机/自动操作切换</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安全与应急功能</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关门时间保护、故障自动检测、紧急警铃求援、消防联动、火警自动返回基站</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便民与节能功能</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满载不停梯、误登陆取消、轿厢到站钟提示、语音报站、照明</w:t>
                  </w:r>
                  <w:r>
                    <w:rPr>
                      <w:rFonts w:ascii="仿宋_GB2312" w:hAnsi="仿宋_GB2312" w:cs="仿宋_GB2312" w:eastAsia="仿宋_GB2312"/>
                      <w:sz w:val="19"/>
                      <w:color w:val="000000"/>
                    </w:rPr>
                    <w:t>/ 风扇延时关闭</w:t>
                  </w:r>
                </w:p>
              </w:tc>
            </w:tr>
            <w:tr>
              <w:tc>
                <w:tcPr>
                  <w:tcW w:type="dxa" w:w="3182"/>
                  <w:gridSpan w:val="3"/>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注：其他工程内容</w:t>
                  </w:r>
                  <w:r>
                    <w:rPr>
                      <w:rFonts w:ascii="仿宋_GB2312" w:hAnsi="仿宋_GB2312" w:cs="仿宋_GB2312" w:eastAsia="仿宋_GB2312"/>
                      <w:sz w:val="19"/>
                      <w:color w:val="000000"/>
                    </w:rPr>
                    <w:t>详见工程量清单</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8"/>
              </w:rPr>
              <w:t>合同签订后个</w:t>
            </w:r>
            <w:r>
              <w:rPr>
                <w:rFonts w:ascii="仿宋_GB2312" w:hAnsi="仿宋_GB2312" w:cs="仿宋_GB2312" w:eastAsia="仿宋_GB2312"/>
                <w:sz w:val="18"/>
                <w:u w:val="single"/>
              </w:rPr>
              <w:t xml:space="preserve">  </w:t>
            </w:r>
            <w:r>
              <w:rPr>
                <w:rFonts w:ascii="仿宋_GB2312" w:hAnsi="仿宋_GB2312" w:cs="仿宋_GB2312" w:eastAsia="仿宋_GB2312"/>
                <w:sz w:val="18"/>
                <w:u w:val="single"/>
              </w:rPr>
              <w:t xml:space="preserve">60  </w:t>
            </w:r>
            <w:r>
              <w:rPr>
                <w:rFonts w:ascii="仿宋_GB2312" w:hAnsi="仿宋_GB2312" w:cs="仿宋_GB2312" w:eastAsia="仿宋_GB2312"/>
                <w:sz w:val="18"/>
              </w:rPr>
              <w:t>日历天（具体开工日期以收到采购人通知为准）。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18"/>
              </w:rPr>
              <w:t>质量标准：符合国家现行有关施工质量验收规范</w:t>
            </w:r>
            <w:r>
              <w:rPr>
                <w:rFonts w:ascii="仿宋_GB2312" w:hAnsi="仿宋_GB2312" w:cs="仿宋_GB2312" w:eastAsia="仿宋_GB2312"/>
                <w:sz w:val="18"/>
              </w:rPr>
              <w:t>“合格”要求。</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18"/>
              </w:rPr>
              <w:t>质保期：电梯质</w:t>
            </w:r>
            <w:r>
              <w:rPr>
                <w:rFonts w:ascii="仿宋_GB2312" w:hAnsi="仿宋_GB2312" w:cs="仿宋_GB2312" w:eastAsia="仿宋_GB2312"/>
                <w:sz w:val="18"/>
              </w:rPr>
              <w:t>保期1年</w:t>
            </w:r>
            <w:r>
              <w:rPr>
                <w:rFonts w:ascii="仿宋_GB2312" w:hAnsi="仿宋_GB2312" w:cs="仿宋_GB2312" w:eastAsia="仿宋_GB2312"/>
                <w:sz w:val="18"/>
              </w:rPr>
              <w:t>，工程整体质量保修期按照各个部分工程的国家标准执行，质保期内年检及维保费用由供应商承担，自验收合格之日起计算，若供应商承诺多于质保要求的，则按其承诺，保修期内须提供</w:t>
            </w:r>
            <w:r>
              <w:rPr>
                <w:rFonts w:ascii="仿宋_GB2312" w:hAnsi="仿宋_GB2312" w:cs="仿宋_GB2312" w:eastAsia="仿宋_GB2312"/>
                <w:sz w:val="18"/>
              </w:rPr>
              <w:t>24小时内的紧急维修服务。</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18"/>
              </w:rPr>
              <w:t>付款方式：签订合同后，达到付款条件起</w:t>
            </w:r>
            <w:r>
              <w:rPr>
                <w:rFonts w:ascii="仿宋_GB2312" w:hAnsi="仿宋_GB2312" w:cs="仿宋_GB2312" w:eastAsia="仿宋_GB2312"/>
                <w:sz w:val="18"/>
              </w:rPr>
              <w:t>10日内，支付合同总金额的40.00%；安装施工完成，采购人验收合格后，达到付款条件起10 日内，支付合同总金额的 60.00%。</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标的名称：周至县民政局福彩管理站315kVA变压器用电工程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1.设备要求及技术指标：</w:t>
            </w:r>
          </w:p>
          <w:tbl>
            <w:tblPr>
              <w:tblInd w:type="dxa" w:w="120"/>
              <w:tblBorders>
                <w:top w:val="none" w:color="000000" w:sz="4"/>
                <w:left w:val="none" w:color="000000" w:sz="4"/>
                <w:bottom w:val="none" w:color="000000" w:sz="4"/>
                <w:right w:val="none" w:color="000000" w:sz="4"/>
                <w:insideH w:val="none"/>
                <w:insideV w:val="none"/>
              </w:tblBorders>
            </w:tblPr>
            <w:tblGrid>
              <w:gridCol w:w="313"/>
              <w:gridCol w:w="2870"/>
            </w:tblGrid>
            <w:tr>
              <w:tc>
                <w:tcPr>
                  <w:tcW w:type="dxa" w:w="313"/>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b/>
                      <w:color w:val="000000"/>
                    </w:rPr>
                    <w:t>设备名称</w:t>
                  </w:r>
                </w:p>
              </w:tc>
              <w:tc>
                <w:tcPr>
                  <w:tcW w:type="dxa" w:w="2870"/>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b/>
                      <w:color w:val="000000"/>
                    </w:rPr>
                    <w:t>技术参数要求</w:t>
                  </w:r>
                </w:p>
              </w:tc>
            </w:tr>
            <w:tr>
              <w:tc>
                <w:tcPr>
                  <w:tcW w:type="dxa" w:w="313"/>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19"/>
                      <w:b/>
                      <w:color w:val="000000"/>
                    </w:rPr>
                    <w:t>变压器</w:t>
                  </w:r>
                </w:p>
              </w:tc>
              <w:tc>
                <w:tcPr>
                  <w:tcW w:type="dxa" w:w="28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numPr>
                      <w:ilvl w:val="0"/>
                      <w:numId w:val="1"/>
                    </w:numPr>
                    <w:jc w:val="left"/>
                  </w:pPr>
                  <w:r>
                    <w:rPr>
                      <w:rFonts w:ascii="仿宋_GB2312" w:hAnsi="仿宋_GB2312" w:cs="仿宋_GB2312" w:eastAsia="仿宋_GB2312"/>
                      <w:sz w:val="19"/>
                      <w:color w:val="000000"/>
                    </w:rPr>
                    <w:t>额定容量：</w:t>
                  </w:r>
                  <w:r>
                    <w:rPr>
                      <w:rFonts w:ascii="仿宋_GB2312" w:hAnsi="仿宋_GB2312" w:cs="仿宋_GB2312" w:eastAsia="仿宋_GB2312"/>
                      <w:sz w:val="19"/>
                      <w:color w:val="000000"/>
                    </w:rPr>
                    <w:t>≥315kVA</w:t>
                  </w:r>
                </w:p>
                <w:p>
                  <w:pPr>
                    <w:pStyle w:val="null3"/>
                    <w:numPr>
                      <w:ilvl w:val="0"/>
                      <w:numId w:val="1"/>
                    </w:numPr>
                    <w:jc w:val="left"/>
                  </w:pPr>
                  <w:r>
                    <w:rPr>
                      <w:rFonts w:ascii="仿宋_GB2312" w:hAnsi="仿宋_GB2312" w:cs="仿宋_GB2312" w:eastAsia="仿宋_GB2312"/>
                      <w:sz w:val="19"/>
                      <w:color w:val="000000"/>
                    </w:rPr>
                    <w:t>额定电压（高压</w:t>
                  </w:r>
                  <w:r>
                    <w:rPr>
                      <w:rFonts w:ascii="仿宋_GB2312" w:hAnsi="仿宋_GB2312" w:cs="仿宋_GB2312" w:eastAsia="仿宋_GB2312"/>
                      <w:sz w:val="19"/>
                      <w:color w:val="000000"/>
                    </w:rPr>
                    <w:t>/ 低压）：10kV/0.4kV、</w:t>
                  </w:r>
                </w:p>
                <w:p>
                  <w:pPr>
                    <w:pStyle w:val="null3"/>
                    <w:numPr>
                      <w:ilvl w:val="0"/>
                      <w:numId w:val="1"/>
                    </w:numPr>
                    <w:jc w:val="left"/>
                  </w:pPr>
                  <w:r>
                    <w:rPr>
                      <w:rFonts w:ascii="仿宋_GB2312" w:hAnsi="仿宋_GB2312" w:cs="仿宋_GB2312" w:eastAsia="仿宋_GB2312"/>
                      <w:sz w:val="19"/>
                      <w:color w:val="000000"/>
                    </w:rPr>
                    <w:t>额定电流（高压</w:t>
                  </w:r>
                  <w:r>
                    <w:rPr>
                      <w:rFonts w:ascii="仿宋_GB2312" w:hAnsi="仿宋_GB2312" w:cs="仿宋_GB2312" w:eastAsia="仿宋_GB2312"/>
                      <w:sz w:val="19"/>
                      <w:color w:val="000000"/>
                    </w:rPr>
                    <w:t>/ 低压）：高压侧≥18.2A，低压侧≥454.4A</w:t>
                  </w:r>
                </w:p>
                <w:p>
                  <w:pPr>
                    <w:pStyle w:val="null3"/>
                    <w:numPr>
                      <w:ilvl w:val="0"/>
                      <w:numId w:val="1"/>
                    </w:numPr>
                    <w:jc w:val="left"/>
                  </w:pPr>
                  <w:r>
                    <w:rPr>
                      <w:rFonts w:ascii="仿宋_GB2312" w:hAnsi="仿宋_GB2312" w:cs="仿宋_GB2312" w:eastAsia="仿宋_GB2312"/>
                      <w:sz w:val="19"/>
                      <w:color w:val="000000"/>
                    </w:rPr>
                    <w:t>额定电压比：</w:t>
                  </w:r>
                  <w:r>
                    <w:rPr>
                      <w:rFonts w:ascii="仿宋_GB2312" w:hAnsi="仿宋_GB2312" w:cs="仿宋_GB2312" w:eastAsia="仿宋_GB2312"/>
                      <w:sz w:val="19"/>
                      <w:color w:val="000000"/>
                    </w:rPr>
                    <w:t>10kV/0.4kV</w:t>
                  </w:r>
                </w:p>
                <w:p>
                  <w:pPr>
                    <w:pStyle w:val="null3"/>
                    <w:jc w:val="left"/>
                  </w:pPr>
                  <w:r>
                    <w:rPr>
                      <w:rFonts w:ascii="仿宋_GB2312" w:hAnsi="仿宋_GB2312" w:cs="仿宋_GB2312" w:eastAsia="仿宋_GB2312"/>
                      <w:sz w:val="19"/>
                      <w:color w:val="000000"/>
                    </w:rPr>
                    <w:t>5. 分接头范围：≥±5%（以 10000V 为基准）</w:t>
                  </w:r>
                </w:p>
                <w:p>
                  <w:pPr>
                    <w:pStyle w:val="null3"/>
                    <w:jc w:val="left"/>
                  </w:pPr>
                  <w:r>
                    <w:rPr>
                      <w:rFonts w:ascii="仿宋_GB2312" w:hAnsi="仿宋_GB2312" w:cs="仿宋_GB2312" w:eastAsia="仿宋_GB2312"/>
                      <w:sz w:val="19"/>
                      <w:color w:val="000000"/>
                    </w:rPr>
                    <w:t>6. 短路阻抗：≤4%</w:t>
                  </w:r>
                </w:p>
                <w:p>
                  <w:pPr>
                    <w:pStyle w:val="null3"/>
                    <w:jc w:val="left"/>
                  </w:pPr>
                  <w:r>
                    <w:rPr>
                      <w:rFonts w:ascii="仿宋_GB2312" w:hAnsi="仿宋_GB2312" w:cs="仿宋_GB2312" w:eastAsia="仿宋_GB2312"/>
                      <w:sz w:val="19"/>
                      <w:color w:val="000000"/>
                    </w:rPr>
                    <w:t>7. 联接组标号：Yyn0</w:t>
                  </w:r>
                </w:p>
                <w:p>
                  <w:pPr>
                    <w:pStyle w:val="null3"/>
                    <w:jc w:val="left"/>
                  </w:pPr>
                  <w:r>
                    <w:rPr>
                      <w:rFonts w:ascii="仿宋_GB2312" w:hAnsi="仿宋_GB2312" w:cs="仿宋_GB2312" w:eastAsia="仿宋_GB2312"/>
                      <w:sz w:val="19"/>
                      <w:color w:val="000000"/>
                    </w:rPr>
                    <w:t>8. 额定频率：50Hz</w:t>
                  </w:r>
                </w:p>
                <w:p>
                  <w:pPr>
                    <w:pStyle w:val="null3"/>
                    <w:jc w:val="left"/>
                  </w:pPr>
                  <w:r>
                    <w:rPr>
                      <w:rFonts w:ascii="仿宋_GB2312" w:hAnsi="仿宋_GB2312" w:cs="仿宋_GB2312" w:eastAsia="仿宋_GB2312"/>
                      <w:sz w:val="19"/>
                      <w:color w:val="000000"/>
                    </w:rPr>
                    <w:t>9. 冷却方式：ONAN（油浸自冷）或同等及以上散热效率的冷却方式</w:t>
                  </w:r>
                </w:p>
                <w:p>
                  <w:pPr>
                    <w:pStyle w:val="null3"/>
                    <w:jc w:val="left"/>
                  </w:pPr>
                  <w:r>
                    <w:rPr>
                      <w:rFonts w:ascii="仿宋_GB2312" w:hAnsi="仿宋_GB2312" w:cs="仿宋_GB2312" w:eastAsia="仿宋_GB2312"/>
                      <w:sz w:val="19"/>
                      <w:color w:val="000000"/>
                    </w:rPr>
                    <w:t>10. 额定绝缘水平：≥A 级</w:t>
                  </w:r>
                </w:p>
                <w:p>
                  <w:pPr>
                    <w:pStyle w:val="null3"/>
                    <w:jc w:val="left"/>
                  </w:pPr>
                  <w:r>
                    <w:rPr>
                      <w:rFonts w:ascii="仿宋_GB2312" w:hAnsi="仿宋_GB2312" w:cs="仿宋_GB2312" w:eastAsia="仿宋_GB2312"/>
                      <w:sz w:val="19"/>
                      <w:color w:val="000000"/>
                    </w:rPr>
                    <w:t>11. 高压侧雷电冲击耐受电压峰值：≥75kV</w:t>
                  </w:r>
                </w:p>
                <w:p>
                  <w:pPr>
                    <w:pStyle w:val="null3"/>
                    <w:jc w:val="left"/>
                  </w:pPr>
                  <w:r>
                    <w:rPr>
                      <w:rFonts w:ascii="仿宋_GB2312" w:hAnsi="仿宋_GB2312" w:cs="仿宋_GB2312" w:eastAsia="仿宋_GB2312"/>
                      <w:sz w:val="19"/>
                      <w:color w:val="000000"/>
                    </w:rPr>
                    <w:t>12. 高压侧短时工频耐受电压有效值：≥35kV</w:t>
                  </w:r>
                </w:p>
                <w:p>
                  <w:pPr>
                    <w:pStyle w:val="null3"/>
                    <w:jc w:val="left"/>
                  </w:pPr>
                  <w:r>
                    <w:rPr>
                      <w:rFonts w:ascii="仿宋_GB2312" w:hAnsi="仿宋_GB2312" w:cs="仿宋_GB2312" w:eastAsia="仿宋_GB2312"/>
                      <w:sz w:val="19"/>
                      <w:color w:val="000000"/>
                    </w:rPr>
                    <w:t>13. 低压侧短时工频耐受电压有效值：≥3kV</w:t>
                  </w:r>
                </w:p>
                <w:p>
                  <w:pPr>
                    <w:pStyle w:val="null3"/>
                    <w:jc w:val="left"/>
                  </w:pPr>
                  <w:r>
                    <w:rPr>
                      <w:rFonts w:ascii="仿宋_GB2312" w:hAnsi="仿宋_GB2312" w:cs="仿宋_GB2312" w:eastAsia="仿宋_GB2312"/>
                      <w:sz w:val="19"/>
                      <w:color w:val="000000"/>
                    </w:rPr>
                    <w:t>14. 空载损耗：≤480W（允许偏差 + 15% 以内）</w:t>
                  </w:r>
                </w:p>
                <w:p>
                  <w:pPr>
                    <w:pStyle w:val="null3"/>
                    <w:jc w:val="left"/>
                  </w:pPr>
                  <w:r>
                    <w:rPr>
                      <w:rFonts w:ascii="仿宋_GB2312" w:hAnsi="仿宋_GB2312" w:cs="仿宋_GB2312" w:eastAsia="仿宋_GB2312"/>
                      <w:sz w:val="19"/>
                      <w:color w:val="000000"/>
                    </w:rPr>
                    <w:t>15. 负载损耗（75℃）：≤3650W（允许偏差 + 10% 以内）16. 噪音水平：≤65dB</w:t>
                  </w:r>
                </w:p>
                <w:p>
                  <w:pPr>
                    <w:pStyle w:val="null3"/>
                    <w:jc w:val="left"/>
                  </w:pPr>
                  <w:r>
                    <w:rPr>
                      <w:rFonts w:ascii="仿宋_GB2312" w:hAnsi="仿宋_GB2312" w:cs="仿宋_GB2312" w:eastAsia="仿宋_GB2312"/>
                      <w:sz w:val="19"/>
                      <w:color w:val="000000"/>
                    </w:rPr>
                    <w:t>17. 空载电流：≤0.5%</w:t>
                  </w:r>
                </w:p>
                <w:p>
                  <w:pPr>
                    <w:pStyle w:val="null3"/>
                    <w:jc w:val="left"/>
                  </w:pPr>
                  <w:r>
                    <w:rPr>
                      <w:rFonts w:ascii="仿宋_GB2312" w:hAnsi="仿宋_GB2312" w:cs="仿宋_GB2312" w:eastAsia="仿宋_GB2312"/>
                      <w:sz w:val="19"/>
                      <w:color w:val="000000"/>
                    </w:rPr>
                    <w:t>18. 顶层油温升：≤55K</w:t>
                  </w:r>
                </w:p>
                <w:p>
                  <w:pPr>
                    <w:pStyle w:val="null3"/>
                    <w:jc w:val="left"/>
                  </w:pPr>
                  <w:r>
                    <w:rPr>
                      <w:rFonts w:ascii="仿宋_GB2312" w:hAnsi="仿宋_GB2312" w:cs="仿宋_GB2312" w:eastAsia="仿宋_GB2312"/>
                      <w:sz w:val="19"/>
                      <w:color w:val="000000"/>
                    </w:rPr>
                    <w:t>19. 整体性能：符合国家电力变压器相关标准（如 GB/T 6451），具备相应的安全认证及质量检测报告</w:t>
                  </w:r>
                </w:p>
              </w:tc>
            </w:tr>
            <w:tr>
              <w:tc>
                <w:tcPr>
                  <w:tcW w:type="dxa" w:w="3183"/>
                  <w:gridSpan w:val="2"/>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注：其他工程内容</w:t>
                  </w:r>
                  <w:r>
                    <w:rPr>
                      <w:rFonts w:ascii="仿宋_GB2312" w:hAnsi="仿宋_GB2312" w:cs="仿宋_GB2312" w:eastAsia="仿宋_GB2312"/>
                      <w:sz w:val="19"/>
                      <w:color w:val="000000"/>
                    </w:rPr>
                    <w:t>详见工程量清单</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8"/>
              </w:rPr>
              <w:t>合同签订后</w:t>
            </w:r>
            <w:r>
              <w:rPr>
                <w:rFonts w:ascii="仿宋_GB2312" w:hAnsi="仿宋_GB2312" w:cs="仿宋_GB2312" w:eastAsia="仿宋_GB2312"/>
                <w:sz w:val="18"/>
              </w:rPr>
              <w:t>60</w:t>
            </w:r>
            <w:r>
              <w:rPr>
                <w:rFonts w:ascii="仿宋_GB2312" w:hAnsi="仿宋_GB2312" w:cs="仿宋_GB2312" w:eastAsia="仿宋_GB2312"/>
                <w:sz w:val="18"/>
              </w:rPr>
              <w:t>个日历天（具体开工日期以收到采购人通知为准）。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18"/>
              </w:rPr>
              <w:t>质量标准：符合国家现行有关施工质量验收规范</w:t>
            </w:r>
            <w:r>
              <w:rPr>
                <w:rFonts w:ascii="仿宋_GB2312" w:hAnsi="仿宋_GB2312" w:cs="仿宋_GB2312" w:eastAsia="仿宋_GB2312"/>
                <w:sz w:val="18"/>
              </w:rPr>
              <w:t>“合格”要求。</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18"/>
              </w:rPr>
              <w:t>质保期：变压器质保期</w:t>
            </w:r>
            <w:r>
              <w:rPr>
                <w:rFonts w:ascii="仿宋_GB2312" w:hAnsi="仿宋_GB2312" w:cs="仿宋_GB2312" w:eastAsia="仿宋_GB2312"/>
                <w:sz w:val="18"/>
              </w:rPr>
              <w:t>2</w:t>
            </w:r>
            <w:r>
              <w:rPr>
                <w:rFonts w:ascii="仿宋_GB2312" w:hAnsi="仿宋_GB2312" w:cs="仿宋_GB2312" w:eastAsia="仿宋_GB2312"/>
                <w:sz w:val="18"/>
              </w:rPr>
              <w:t>年，工程整体质量保修期按照各个部分工程的国家标准执行，质保期内年检及维保费用由供应商承担，自验收合格之日起计算，若供应商承诺多于质保要求的，则按其承诺，保修期内须提供</w:t>
            </w:r>
            <w:r>
              <w:rPr>
                <w:rFonts w:ascii="仿宋_GB2312" w:hAnsi="仿宋_GB2312" w:cs="仿宋_GB2312" w:eastAsia="仿宋_GB2312"/>
                <w:sz w:val="18"/>
              </w:rPr>
              <w:t>24小时内的紧急维修服务。</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18"/>
              </w:rPr>
              <w:t>付款方式：签订合同后，达到付款条件起</w:t>
            </w:r>
            <w:r>
              <w:rPr>
                <w:rFonts w:ascii="仿宋_GB2312" w:hAnsi="仿宋_GB2312" w:cs="仿宋_GB2312" w:eastAsia="仿宋_GB2312"/>
                <w:sz w:val="18"/>
              </w:rPr>
              <w:t>10日内，支付合同总金额的40.00%；安装施工完成，采购人验收合格后，达到付款条件起10 日内，支付合同总金额的 60.00%。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在施工期间，中标供应商必须注意现场人员安全，加强安全措施，并对施工人员进行安全教育。施工人员必须持证上岗。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同时，线下递交响应文件，正本壹份、副本贰份，随正本密封。若线上电子响应文件与纸质响应文件不一致以电子响应文件为准；若正本和副本不符，以正本为准。线下递交时间同线上响应文件递交截止时间；线下递交文件地点：陕西省西安市碑林区长安北路（南稍门十字）大话南门壹中心13楼1309室。2、供应商务必在开标截止时间30分钟前，通过项目电子化交易系统进行签到，如未进行签到，产生的一切后果由供应商自行承担。3、本项目专门面向中小企业采购（残疾人福利性单位、监狱企业视同小型、微型企业）。4、采购标的对应的中小企业划分标准所属行业为建筑业。建筑业的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供应商需在项目电子化交易系统中按要求填写《投标函》完成承诺同时提供以下资料并进行电子签章： （1）供应商应是合法注册的法人或其他组织,并出具合法有效的营业执照；（2）财务状况证明：提供2024年度经审计的财务审计报告 (包括审计报告、资产负债表、利润表、现金流量表、所有者权益变动表及其附注，成立时间至开标时间不足一年的可提供成立后任意时段的资产负债表）或磋商截止时间前一年内其基本账户银行出具的资信证明或政府采购信用担保机构出具的担保函；（3）税收和社保证明：提供投标截止时间前一年内任意一个月的依法缴纳的税收和社保证明（社会保障资金缴存单据或社保机构开具的社会保险参保缴费情况证明）；依法免税或不需要缴纳社会保障资金的应提供相关证明材料；（4）参加政府采购活动前三年内，在经营活动中没有重大违法记录的书面声明；（5）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具有财务审计资质单位出具的2024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供应商需在项目电子化交易系统中按要求填写《投标函》完成承诺，同时提供以下资料并进行电子签章： （1）供应商应是合法注册的法人或其他组织,并出具合法有效的营业执照；（2）财务状况证明：提供2024年度经审计的财务审计报告 (包括审计报告、资产负债表、利润表、现金流量表、所有者权益变动表及其附注，成立时间至开标时间不足一年的可提供成立后任意时段的资产负债表）或磋商截止时间前一年内其基本账户银行出具的资信证明或政府采购信用担保机构出具的担保函；（3）税收和社保证明：提供投标截止时间前一年内任意一个月的依法缴纳的税收和社保证明（社会保障资金缴存单据或社保机构开具的社会保险参保缴费情况证明）；依法免税或不需要缴纳社会保障资金的应提供相关证明材料；（4）参加政府采购活动前三年内，在经营活动中没有重大违法记录的书面声明；（5）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具有财务审计资质单位出具的2024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1）供应商需具备钢结构工程专业承包三级及以上资质，具备有效的安全生产许可证；（2）供应商为电梯生产制造商的，须提供《中华人民共和国特种设备生产许可证》电梯制造（含安装、修理、改造）；供应商为电梯经销商（代理商）的，须提供《中华人民共和国特种设备生产许可证》电梯安装（含修理）及电梯生产制造商的《中华人民共和国特种设备生产许可证》电梯制造（含安装、修理、改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不得为“中国执行信息公开网”网站中列入失信被执行人和“信用中国”网站中列入重大税收违法失信主体的供应商，不得为“中国政府采购网”政府采购严重违法失信行为记录名单中被财政部门禁止参加政府采购活动的供应商；采购代理机构于投标截止日当天在网站的查询结果为准（截图留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拟派项目负责人须具备建筑工程专业二级（或以上）注册建造师执业资格，具备有效的安全生产考核合格证书（建安B证），且无在建项目。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拟派技术负责人</w:t>
            </w:r>
          </w:p>
        </w:tc>
        <w:tc>
          <w:tcPr>
            <w:tcW w:type="dxa" w:w="3322"/>
          </w:tcPr>
          <w:p>
            <w:pPr>
              <w:pStyle w:val="null3"/>
            </w:pPr>
            <w:r>
              <w:rPr>
                <w:rFonts w:ascii="仿宋_GB2312" w:hAnsi="仿宋_GB2312" w:cs="仿宋_GB2312" w:eastAsia="仿宋_GB2312"/>
              </w:rPr>
              <w:t>拟派技术负责人需具备《中华人民共和国特种设备作业人员证》（电梯专业）</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本项目接受联合体投标（若为联合体，提供联合体协议书）。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电力工程施工总承包三级及以上资质或输变电工程专业承包三级或以上资质具有有效的安全生产许可证，同时具备承装（修、试）电力设施许可证（承装类、承修类）三级或以上资格，并在人员、设备、资金等方面具备相应的施工能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不得为“中国执行信息公开网”网站中列入失信被执行人和“信用中国”网站中列入重大税收违法失信主体的供应商，不得为“中国政府采购网”政府采购严重违法失信行为记录名单中被财政部门禁止参加政府采购活动的供应商；采购代理机构于投标截止日当天在网站的查询结果为准（截图留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拟派项目负责人须具有机电工程专业二级（或以上）注册建造师执业资格及有效的安全生产考核证且在本单位注册，未担任其他在建工程项目的项目负责人。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本项目接受联合体投标（若为联合体，提供联合体协议书）。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响应方案.docx 响应文件封面 供应商应提交的相关资格证明材料.docx 项目管理机构组成表 残疾人福利性单位声明函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唯一报价，并未超出采购预算及限价。</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响应方案.docx 响应文件封面 供应商应提交的相关资格证明材料.docx 项目管理机构组成表 残疾人福利性单位声明函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唯一报价，并未超出采购预算及限价。</w:t>
            </w:r>
          </w:p>
        </w:tc>
        <w:tc>
          <w:tcPr>
            <w:tcW w:type="dxa" w:w="1661"/>
          </w:tcPr>
          <w:p>
            <w:pPr>
              <w:pStyle w:val="null3"/>
            </w:pPr>
            <w:r>
              <w:rPr>
                <w:rFonts w:ascii="仿宋_GB2312" w:hAnsi="仿宋_GB2312" w:cs="仿宋_GB2312" w:eastAsia="仿宋_GB2312"/>
              </w:rPr>
              <w:t>响应文件封面 已标价工程量清单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明确，无负偏离，产品技术参数符合磋商文件要求、数量准确无缺漏项，并提供相关佐证材料的，得10分，技术参数每负偏离一项或有一项未提供相关佐证材料的，扣1分，扣完为止，不计负分。备注:佐证材料包括但不限于:技术资料、第三方检测报告，制造厂家出具的对应产品的铭牌，制造厂家出具的对应产品的彩页;制造厂家官网截图等。佐证材料与技术指标不一致或未按要求提供证明材料的视为负偏离。</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供应商提供的本项目施工方案①施工工艺②施工方法③技术措施进行综合打分，完全响应得9分；方案中每有一项内容缺失扣3分，方案内容要素中每存在一处缺陷扣0.5分，该分项分值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机械配置方案</w:t>
            </w:r>
          </w:p>
        </w:tc>
        <w:tc>
          <w:tcPr>
            <w:tcW w:type="dxa" w:w="2492"/>
          </w:tcPr>
          <w:p>
            <w:pPr>
              <w:pStyle w:val="null3"/>
            </w:pPr>
            <w:r>
              <w:rPr>
                <w:rFonts w:ascii="仿宋_GB2312" w:hAnsi="仿宋_GB2312" w:cs="仿宋_GB2312" w:eastAsia="仿宋_GB2312"/>
              </w:rPr>
              <w:t>根据供应商提供的 机械配置方案①施工所需机械设备清单②设备配备③劳保用品配置措施进行综合打分，完全响应得6分；方案中每有一项内容缺失扣2分，方案内容要素中每存在一处缺陷扣0.5分，该分项分值扣完为止。 注：缺陷判定标准：同“施工方案”缺陷定义。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供应商提供针对本项目的人员配备方案，包含①项目成员配备科学规范及劳动力保障措施 ②人员组成结构及人员的服务技术能力③配备人员资质经验合理性综合评审，完全响应得6分；方案中每有一项内容缺失扣2分，方案内容要素中每存在一处缺陷扣0.5分，该分项分值扣完为止。 注：缺陷判定标准：同“施工方案” 缺陷定义。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质量管理方案</w:t>
            </w:r>
          </w:p>
        </w:tc>
        <w:tc>
          <w:tcPr>
            <w:tcW w:type="dxa" w:w="2492"/>
          </w:tcPr>
          <w:p>
            <w:pPr>
              <w:pStyle w:val="null3"/>
            </w:pPr>
            <w:r>
              <w:rPr>
                <w:rFonts w:ascii="仿宋_GB2312" w:hAnsi="仿宋_GB2312" w:cs="仿宋_GB2312" w:eastAsia="仿宋_GB2312"/>
              </w:rPr>
              <w:t>供应商提供针对本项目的质量管理方案包含：①质量管理体系②质量保证措施，完全响应得6分 ；方案中每有一项内容缺失扣3分，方案内容要素中每存在一处缺陷扣1分，该分项分值扣完为止。注：缺陷判定标准：同“施工方案” 缺陷定义。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根据供应商提供的①安全管理体系与措施②安全文明施工措施③安全教育及培训计划④安全防护措施等进行综合评审：完全响应得6分；方案中每有一项内容缺失扣1.5分，方案内容要素中每存在一处缺陷扣0.5分，该分项分值扣完为止。注：缺陷判定标准：同“施工方案” 缺陷定义。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供应商提供针对本项目的工期及进度安排计划包含：①保证项目工期实施措施，②施工进度表或施工网络节点表措施，③出现特殊情况的应急预案进行综合评审：完全响应得6分；方案中每有一项内容缺失扣2分，方案内容要素中每存在一处缺陷扣0.5分，该分项分值扣完为止。 注：缺陷判定标准：同“施工方案” 缺陷定义。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供应商提供针对本项目的环保方案，包含：①环境保护管理体系与措施②污染物处理及排放符合国家及地方环境保护标准响应措施；③现场扬尘预防措施进行综合评审：完全响应得6分；方案中每有一项内容缺失扣2分，方案内容要素中每存在一处缺陷扣0.5分，该分项分值扣完为止。注：缺陷判定标准：同“施工方案” 缺陷定义。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对供应商提供的售后服务方案，包括①承诺维修响应时间②售后人员配置③工程质保承诺方案等进行综合评定：完全响应得9分；方案中每有一项内容缺失扣3分，方案内容要素中每存在一处缺陷扣0.5分，该分项分值扣完为止。注：缺陷判定标准：同“施工方案” 缺陷定义。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供应商2022年1月至截标时间前同类项目业绩；每提供1份计2分，最高得6分。（提供加盖公章复印件，业绩时间以合同签订时间为准）。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文件，其最终报价为有效报价。本项目专门面向中小企业采购，根据财政部发布《政府采购促进中小企业发展政策问答》的规定，专门面向中小企业采购的项目或者采购包，不再执行价格评审优惠的扶持政策。 2、有效最低报价为基准价得30分。 3、按（磋商基准价/有效最终磋商报价）×30的公式计算报价得分。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明确，无负偏离，产品技术参数符合磋商文件要求、数量准确无缺漏项，并提供相关佐证材料的，得10分，技术参数每负偏离一项或有一项未提供相关佐证材料的，扣1分，扣完为止，不计负分。备注:佐证材料包括但不限于:技术资料、第三方检测报告，制造厂家出具的对应产品的铭牌，制造厂家出具的对应产品的彩页;制造厂家官网截图等。佐证材料与技术指标不一致或未按要求提供证明材料的视为负偏离。</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供应商提供的本项目施工方案①施工工艺②施工方法③技术措施进行综合打分，完全响应得9分；方案中每有一项内容缺失扣3分，方案内容要素中每存在一处缺陷扣0.5分，该分项分值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机械配置方案</w:t>
            </w:r>
          </w:p>
        </w:tc>
        <w:tc>
          <w:tcPr>
            <w:tcW w:type="dxa" w:w="2492"/>
          </w:tcPr>
          <w:p>
            <w:pPr>
              <w:pStyle w:val="null3"/>
            </w:pPr>
            <w:r>
              <w:rPr>
                <w:rFonts w:ascii="仿宋_GB2312" w:hAnsi="仿宋_GB2312" w:cs="仿宋_GB2312" w:eastAsia="仿宋_GB2312"/>
              </w:rPr>
              <w:t>根据供应商提供的机械配置方案①施工所需机械设备清单②设备配备③劳保用品配置措施进行综合打分，完全响应得6分；方案中每有一项内容缺失扣2分，方案内容要素中每存在一处缺陷扣0.5分，该分项分值扣完为止。 注：缺陷判定标准：同“施工方案”缺陷定义。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供应商提供针对本项目的人员配备方案，包含①项目成员配备科学规范及劳动力保障措施 ②人员组成结构及人员的服务技术能力③配备人员资质经验合理性综合评审，完全响应得6分；方案中每有一项内容缺失扣2分，方案内容要素中每存在一处缺陷扣0.5分，该分项分值扣完为止。注：缺陷判定标准：同“施工方案” 缺陷定义。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质量管理方案</w:t>
            </w:r>
          </w:p>
        </w:tc>
        <w:tc>
          <w:tcPr>
            <w:tcW w:type="dxa" w:w="2492"/>
          </w:tcPr>
          <w:p>
            <w:pPr>
              <w:pStyle w:val="null3"/>
            </w:pPr>
            <w:r>
              <w:rPr>
                <w:rFonts w:ascii="仿宋_GB2312" w:hAnsi="仿宋_GB2312" w:cs="仿宋_GB2312" w:eastAsia="仿宋_GB2312"/>
              </w:rPr>
              <w:t>供应商提供针对本项目的质量管理方案包含：①质量管理体系②质量保证措施，完全响应得6分 ；方案中每有一项内容缺失扣3分，方案内容要素中每存在一处缺陷扣1分，该分项分值扣完为止。注：缺陷判定标准：同“施工方案” 缺陷定义。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根据供应商提供的①安全管理体系与措施②安全文明施工措施③安全教育及培训计划④安全防护措施等进行综合评审：完全响应得6分；方案中每有一项内容缺失扣1.5分，方案内容要素中每存在一处缺陷扣0.5分，该分项分值扣完为止。注：缺陷判定标准：同“施工方案” 缺陷定义。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供应商提供针对本项目的工期及进度安排计划包含：①保证项目工期实施措施，②施工进度表或施工网络节点表措施，③出现特殊情况的应急预案进行综合评审：完全响应得6分；方案中每有一项内容缺失扣2分，方案内容要素中每存在一处缺陷扣0.5分，该分项分值扣完为止。 注：缺陷判定标准：同“施工方案” 缺陷定义。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供应商提供针对本项目的环保方案，包含：①环境保护管理体系与措施②污染物处理及排放符合国家及地方环境保护标准响应措施；③现场扬尘预防措施进行综合评审：完全响应得6分；方案中每有一项内容缺失扣2分，方案内容要素中每存在一处缺陷扣0.5分，该分项分值扣完为止。注：缺陷判定标准：同“施工方案” 缺陷定义。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对供应商提供的售后服务方案，包括①承诺维修响应时间②售后人员配置③工程质保承诺方案等进行综合评定：完全响应得9分；方案中每有一项内容缺失扣3分，方案内容要素中每存在一处缺陷扣0.5分，该分项分值扣完为止。注：缺陷判定标准：同“施工方案” 缺陷定义。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投标产品为节能产品或环境标志产品清单中的产品，并提供国家确定的认证机构出具的、处于有效期之内的节能产品、环境标志产品认证证书。每提供1个得1分，此项最多2分。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供应商2022年1月至截标时间前同类项目业绩；每提供1份计2分，最高得2分。（提供加盖公章复印件，业绩时间以合同签订时间为准）。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文件，其最终报价为有效报价。本项目专门面向中小企业采购，根据财政部发布《政府采购促进中小企业发展政策问答》的规定，专门面向中小企业采购的项目或者采购包，不再执行价格评审优惠的扶持政策。 2、有效最低报价为基准价得30分。 3、按（磋商基准价/有效最终磋商报价）×30的公式计算报价得分。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详见附件：周至县福彩管理站电力设施及电梯采购安装项目合同文本.docx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