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版本号：2026-ZYD-ZB-00820260306002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周至县2025年省级林业草原改革发展资金重点区域绿化项目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2026-ZYD-ZB-008</w:t>
      </w:r>
      <w:r>
        <w:br/>
      </w:r>
      <w:r>
        <w:br/>
      </w:r>
      <w:r>
        <w:br/>
      </w:r>
    </w:p>
    <w:p>
      <w:pPr>
        <w:pStyle w:val="null3"/>
        <w:jc w:val="center"/>
        <w:outlineLvl w:val="2"/>
      </w:pPr>
      <w:r>
        <w:rPr>
          <w:rFonts w:ascii="仿宋_GB2312" w:hAnsi="仿宋_GB2312" w:cs="仿宋_GB2312" w:eastAsia="仿宋_GB2312"/>
          <w:sz w:val="28"/>
          <w:b/>
        </w:rPr>
        <w:t>西安市周至县秦岭生态环境保护和综合执法局</w:t>
      </w:r>
    </w:p>
    <w:p>
      <w:pPr>
        <w:pStyle w:val="null3"/>
        <w:jc w:val="center"/>
        <w:outlineLvl w:val="2"/>
      </w:pPr>
      <w:r>
        <w:rPr>
          <w:rFonts w:ascii="仿宋_GB2312" w:hAnsi="仿宋_GB2312" w:cs="仿宋_GB2312" w:eastAsia="仿宋_GB2312"/>
          <w:sz w:val="28"/>
          <w:b/>
        </w:rPr>
        <w:t>陕西中扬德项目管理有限公司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陕西中扬德项目管理有限公司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西安市周至县秦岭生态环境保护和综合执法局</w:t>
      </w:r>
      <w:r>
        <w:rPr>
          <w:rFonts w:ascii="仿宋_GB2312" w:hAnsi="仿宋_GB2312" w:cs="仿宋_GB2312" w:eastAsia="仿宋_GB2312"/>
        </w:rPr>
        <w:t>委托，拟对</w:t>
      </w:r>
      <w:r>
        <w:rPr>
          <w:rFonts w:ascii="仿宋_GB2312" w:hAnsi="仿宋_GB2312" w:cs="仿宋_GB2312" w:eastAsia="仿宋_GB2312"/>
        </w:rPr>
        <w:t>周至县2025年省级林业草原改革发展资金重点区域绿化项目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2026-ZYD-ZB-008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周至县2025年省级林业草原改革发展资金重点区域绿化项目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建设内容：造林绿化面积为300亩，造林当年成活率≥85%，主要用于种苗购置、苗木栽植、浇水施肥、三年内成苗维护及技术支撑等支出。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采购包1（周至县2025年省级林业草原改革发展资金重点区域绿化项目）：属于专门面向中小企业采购。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2、供应商授权：法定代表人授权书（附法定代表人、被授权人身份证复印件）；法定代表人直接参加投标，须提供法定代表人身份证明及身份证复印件。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3、供应商资质要求：供应商须具备市政公用工程施工总承包三级及以上资质。</w:t>
      </w:r>
    </w:p>
    <w:p>
      <w:pPr>
        <w:pStyle w:val="null3"/>
      </w:pPr>
      <w:r>
        <w:rPr>
          <w:rFonts w:ascii="仿宋_GB2312" w:hAnsi="仿宋_GB2312" w:cs="仿宋_GB2312" w:eastAsia="仿宋_GB2312"/>
        </w:rPr>
        <w:t>4、供应商拟派项目经理：供应商拟派项目经理具备市政公用工程专业【注册建造师二级】及以上执业资格，并具备有效的安全生产考核合格B证且未担任其他在建工程项目的项目经理(建造师无在建工程声明并提供建造师的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西安市周至县秦岭生态环境保护和综合执法局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周至县二曲镇农商街中段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周至县秦岭生态环境保护和综合执法局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13572444312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陕西中扬德项目管理有限公司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陕西省西安市周至县环沙路与中心东街交叉口东北 180 米（陕西中扬德项目管理有限公司 ）</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029-85170827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采购包1：1,486,652.24元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代理服务费收费标准：1.按国家发展和改革委员会文件，发改价格[2011]534号的收费标准收取； 2.代理费缴纳账户 开户名称：陕西中扬德项目管理有限公司 开户银行：中国银行股份有限公司西安大兴新区支行 银行账户：1020 88376412</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西安市周至县秦岭生态环境保护和综合执法局</w:t>
      </w:r>
      <w:r>
        <w:rPr>
          <w:rFonts w:ascii="仿宋_GB2312" w:hAnsi="仿宋_GB2312" w:cs="仿宋_GB2312" w:eastAsia="仿宋_GB2312"/>
        </w:rPr>
        <w:t>和</w:t>
      </w:r>
      <w:r>
        <w:rPr>
          <w:rFonts w:ascii="仿宋_GB2312" w:hAnsi="仿宋_GB2312" w:cs="仿宋_GB2312" w:eastAsia="仿宋_GB2312"/>
        </w:rPr>
        <w:t>陕西中扬德项目管理有限公司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西安市周至县秦岭生态环境保护和综合执法局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陕西中扬德项目管理有限公司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西安市周至县秦岭生态环境保护和综合执法局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陕西中扬德项目管理有限公司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联系电话：029-85170827</w:t>
      </w:r>
    </w:p>
    <w:p>
      <w:pPr>
        <w:pStyle w:val="null3"/>
      </w:pPr>
      <w:r>
        <w:rPr>
          <w:rFonts w:ascii="仿宋_GB2312" w:hAnsi="仿宋_GB2312" w:cs="仿宋_GB2312" w:eastAsia="仿宋_GB2312"/>
        </w:rPr>
        <w:t>地址：陕西省西安市周至县环沙路与中心东街交叉口东北 180 米（陕西中扬德项目管理有限公司）</w:t>
      </w:r>
    </w:p>
    <w:p>
      <w:pPr>
        <w:pStyle w:val="null3"/>
      </w:pPr>
      <w:r>
        <w:rPr>
          <w:rFonts w:ascii="仿宋_GB2312" w:hAnsi="仿宋_GB2312" w:cs="仿宋_GB2312" w:eastAsia="仿宋_GB2312"/>
        </w:rPr>
        <w:t>邮编：710400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1,486,652.24</w:t>
      </w:r>
    </w:p>
    <w:p>
      <w:pPr>
        <w:pStyle w:val="null3"/>
      </w:pPr>
      <w:r>
        <w:rPr>
          <w:rFonts w:ascii="仿宋_GB2312" w:hAnsi="仿宋_GB2312" w:cs="仿宋_GB2312" w:eastAsia="仿宋_GB2312"/>
        </w:rPr>
        <w:t>采购包最高限价（元）: 1,486,652.24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周至县2025年省级林业草原改革发展资金重点区域绿化项目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1,486,652.24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标的名称：周至县2025年省级林业草原改革发展资金重点区域绿化项目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32"/>
                <w:color w:val="000000"/>
              </w:rPr>
              <w:t>1.造林当年成活率</w:t>
            </w:r>
            <w:r>
              <w:rPr>
                <w:rFonts w:ascii="仿宋_GB2312" w:hAnsi="仿宋_GB2312" w:cs="仿宋_GB2312" w:eastAsia="仿宋_GB2312"/>
                <w:sz w:val="32"/>
                <w:color w:val="000000"/>
              </w:rPr>
              <w:t>≥85%；</w:t>
            </w:r>
          </w:p>
          <w:p>
            <w:pPr>
              <w:pStyle w:val="null3"/>
            </w:pPr>
            <w:r>
              <w:rPr>
                <w:rFonts w:ascii="仿宋_GB2312" w:hAnsi="仿宋_GB2312" w:cs="仿宋_GB2312" w:eastAsia="仿宋_GB2312"/>
                <w:sz w:val="32"/>
                <w:color w:val="000000"/>
              </w:rPr>
              <w:t>2.养护期3年，到期后交付甲方</w:t>
            </w:r>
            <w:r>
              <w:rPr>
                <w:rFonts w:ascii="仿宋_GB2312" w:hAnsi="仿宋_GB2312" w:cs="仿宋_GB2312" w:eastAsia="仿宋_GB2312"/>
                <w:sz w:val="32"/>
                <w:color w:val="000000"/>
              </w:rPr>
              <w:t>成活率</w:t>
            </w:r>
            <w:r>
              <w:rPr>
                <w:rFonts w:ascii="仿宋_GB2312" w:hAnsi="仿宋_GB2312" w:cs="仿宋_GB2312" w:eastAsia="仿宋_GB2312"/>
                <w:sz w:val="32"/>
                <w:color w:val="000000"/>
              </w:rPr>
              <w:t>≥85%。</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国家及行业现行技术规范标准，符合国家及行业验收合格标准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（1）提供合格有效的法人或者其他组织的营业执照等证明文件；供应商是法人或其他组织的应提供营业执照等证明文件，供应商是自然人的应提供有效的自然人身份证明； （2）税收缴纳证明：供应商需提供开标截至日期前6个月内任意一个月的完税凭证或税务机关开具的完税证明任意税种；依法免税的应提供相关文件证明； （3）社会保障资金缴纳证明：供应商需提供开标截止日期前6个月内任意一个月的社会保障资金缴存单据或社保机构开具的社会保险参保缴费情况证明；依法不需要缴纳社会保障资金的应提供相关文件证明； （4）参加政府采购活动前三年内在经营活动中没有重大违纪的书面声明（须加盖单位红色公章）； （5）提供供应商具备履行合同所必需的设备和专业技术能力的证明；供应商需在项目电子化交易系统中按要求填写《投标函》完成承诺并进行电子签章。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成立时间至开标时间不足一年的可提供成立后任意时段的资产负债表和利润表）或开标前六个月内其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供应商须具备市政公用工程施工总承包三级及以上资质。</w:t>
            </w:r>
          </w:p>
        </w:tc>
        <w:tc>
          <w:tcPr>
            <w:tcW w:type="dxa" w:w="1661"/>
          </w:tcPr>
          <w:p>
            <w:pPr>
              <w:pStyle w:val="null3"/>
            </w:pPr>
            <w:r>
              <w:rPr>
                <w:rFonts w:ascii="仿宋_GB2312" w:hAnsi="仿宋_GB2312" w:cs="仿宋_GB2312" w:eastAsia="仿宋_GB2312"/>
              </w:rPr>
              <w:t>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供应商拟派项目经理</w:t>
            </w:r>
          </w:p>
        </w:tc>
        <w:tc>
          <w:tcPr>
            <w:tcW w:type="dxa" w:w="3322"/>
          </w:tcPr>
          <w:p>
            <w:pPr>
              <w:pStyle w:val="null3"/>
            </w:pPr>
            <w:r>
              <w:rPr>
                <w:rFonts w:ascii="仿宋_GB2312" w:hAnsi="仿宋_GB2312" w:cs="仿宋_GB2312" w:eastAsia="仿宋_GB2312"/>
              </w:rPr>
              <w:t>供应商拟派项目经理具备市政公用工程专业【注册建造师二级】及以上执业资格，并具备有效的安全生产考核合格B证且未担任其他在建工程项目的项目经理(建造师无在建工程声明并提供建造师的社保缴纳证明）。</w:t>
            </w:r>
          </w:p>
        </w:tc>
        <w:tc>
          <w:tcPr>
            <w:tcW w:type="dxa" w:w="1661"/>
          </w:tcPr>
          <w:p>
            <w:pPr>
              <w:pStyle w:val="null3"/>
            </w:pPr>
            <w:r>
              <w:rPr>
                <w:rFonts w:ascii="仿宋_GB2312" w:hAnsi="仿宋_GB2312" w:cs="仿宋_GB2312" w:eastAsia="仿宋_GB2312"/>
              </w:rPr>
              <w:t>项目管理机构组成表 主要人员简历表 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磋商响应文件内需法定代表人或其授权代表人的签字或盖章的地方需签字或盖章齐全，需加盖公章的地方加盖齐全 ；</w:t>
            </w:r>
          </w:p>
        </w:tc>
        <w:tc>
          <w:tcPr>
            <w:tcW w:type="dxa" w:w="1661"/>
          </w:tcPr>
          <w:p>
            <w:pPr>
              <w:pStyle w:val="null3"/>
            </w:pPr>
            <w:r>
              <w:rPr>
                <w:rFonts w:ascii="仿宋_GB2312" w:hAnsi="仿宋_GB2312" w:cs="仿宋_GB2312" w:eastAsia="仿宋_GB2312"/>
              </w:rPr>
              <w:t>确保安全生产技术组织措施.docx 已标价工程量清单.docx 中小企业声明函 技术服务合同条款及其他商务要求应答表 确保文明施工及环境保护组织措施.docx 确保工期的技术组织措施.docx 强制优先采购产品承诺函 资格条件证明文件.docx 响应文件封面 确保工程质量的技术组织措施.docx 项目管理机构组成表 残疾人福利性单位声明函 施工方案.docx 报价函 施工机械配置和材料投入计划.docx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要求商务条款全部响应，不能有采购人不能接受的附加条件；</w:t>
            </w:r>
          </w:p>
        </w:tc>
        <w:tc>
          <w:tcPr>
            <w:tcW w:type="dxa" w:w="1661"/>
          </w:tcPr>
          <w:p>
            <w:pPr>
              <w:pStyle w:val="null3"/>
            </w:pPr>
            <w:r>
              <w:rPr>
                <w:rFonts w:ascii="仿宋_GB2312" w:hAnsi="仿宋_GB2312" w:cs="仿宋_GB2312" w:eastAsia="仿宋_GB2312"/>
              </w:rPr>
              <w:t>确保安全生产技术组织措施.docx 已标价工程量清单.docx 中小企业声明函 技术服务合同条款及其他商务要求应答表 确保文明施工及环境保护组织措施.docx 确保工期的技术组织措施.docx 其他相关资料.docx 强制优先采购产品承诺函 资格条件证明文件.docx 响应文件封面 确保工程质量的技术组织措施.docx 项目管理机构组成表 残疾人福利性单位声明函 施工方案.docx 报价函 施工机械配置和材料投入计划.docx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确保安全生产技术组织措施.docx 已标价工程量清单.docx 中小企业声明函 技术服务合同条款及其他商务要求应答表 确保文明施工及环境保护组织措施.docx 确保工期的技术组织措施.docx 其他相关资料.docx 强制优先采购产品承诺函 资格条件证明文件.docx 响应文件封面 确保工程质量的技术组织措施.docx 项目管理机构组成表 残疾人福利性单位声明函 施工方案.docx 报价函 施工机械配置和材料投入计划.docx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确保安全生产技术组织措施.docx 已标价工程量清单.docx 中小企业声明函 技术服务合同条款及其他商务要求应答表 确保文明施工及环境保护组织措施.docx 确保工期的技术组织措施.docx 其他相关资料.docx 强制优先采购产品承诺函 资格条件证明文件.docx 响应文件封面 确保工程质量的技术组织措施.docx 项目管理机构组成表 残疾人福利性单位声明函 施工方案.docx 报价函 施工机械配置和材料投入计划.docx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确保安全生产技术组织措施.docx 已标价工程量清单.docx 中小企业声明函 技术服务合同条款及其他商务要求应答表 确保文明施工及环境保护组织措施.docx 确保工期的技术组织措施.docx 其他相关资料.docx 强制优先采购产品承诺函 资格条件证明文件.docx 响应文件封面 确保工程质量的技术组织措施.docx 项目管理机构组成表 残疾人福利性单位声明函 施工方案.docx 报价函 施工机械配置和材料投入计划.docx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上述5项评审内容全部满足评审标准得15分，每有一个评审内容缺项扣3分，每有一项评审内容存在缺陷，扣1-2分，扣完为止。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内容至少包括①质量管理流程；②工程质量保障方案；③工程质量控制体系；④材料和构配件的质量控制等；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确保工程质量的技术组织措施.docx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内容至少包括①安全生产管理制度；②配置安全组织机构；③安全隐患排查、整改制度；④应急救援方案等。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确保安全生产技术组织措施.docx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 内容至少包括①文明施工及环境保护管理制度； ②防尘降噪措施；③节能减排措施；④治污减霾措施；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确保文明施工及环境保护组织措施.docx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 ②工期目标控制和保证措施； ③材料供应措施； ④成品、半成品保护监管措施等。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确保工期的技术组织措施.docx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上述3项评审内容全部满足评审标准得6分，每有一个评审内容缺项扣2分，每有一项评审内容存在缺陷，扣1-1.5分，扣完为止。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施工机械配置和材料投入计划.docx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项目组人员配备安排科学、合理，由评审小组横向比较自主赋分，计[0-5分]； （注：提供配备人员身份证、学历证、专业技术资格证、职称证（如有）等证明材料的复印件并加盖单位公章）。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1.项目经理具有类似项目业绩1个计0.5分，最多得1分； 赋分依据：提供合同复印件或中标通知书复印件（复印件至少含合同首页，反映项目经理姓名关键页，双方签字盖章页），需加盖投标单位公章。 2.具有相关专业中级职称得1分，高级职称得2分。（注：以加盖公章的职称证复印件为准。）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提供近3年类似业绩，一份业绩得3分，本项最高9分。 赋分依据：加盖公章的合同复印件或中标通知书复印件（注：时间以合同复印件或中标通知书签订为准。）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满足磋商文件要求且最终报价最低的供应商的价格为磋商基准价，其价格得分为满分。其他磋商单位的价格分统一按照下列公式计算：价格分=（评审基准价/最终报价）×30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详见附件：资格条件证明文件.docx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详见附件：确保工程质量的技术组织措施.docx</w:t>
      </w:r>
    </w:p>
    <w:p>
      <w:pPr>
        <w:pStyle w:val="null3"/>
        <w:ind w:firstLine="960"/>
      </w:pPr>
      <w:r>
        <w:rPr>
          <w:rFonts w:ascii="仿宋_GB2312" w:hAnsi="仿宋_GB2312" w:cs="仿宋_GB2312" w:eastAsia="仿宋_GB2312"/>
        </w:rPr>
        <w:t>详见附件：确保安全生产技术组织措施.docx</w:t>
      </w:r>
    </w:p>
    <w:p>
      <w:pPr>
        <w:pStyle w:val="null3"/>
        <w:ind w:firstLine="960"/>
      </w:pPr>
      <w:r>
        <w:rPr>
          <w:rFonts w:ascii="仿宋_GB2312" w:hAnsi="仿宋_GB2312" w:cs="仿宋_GB2312" w:eastAsia="仿宋_GB2312"/>
        </w:rPr>
        <w:t>详见附件：确保文明施工及环境保护组织措施.docx</w:t>
      </w:r>
    </w:p>
    <w:p>
      <w:pPr>
        <w:pStyle w:val="null3"/>
        <w:ind w:firstLine="960"/>
      </w:pPr>
      <w:r>
        <w:rPr>
          <w:rFonts w:ascii="仿宋_GB2312" w:hAnsi="仿宋_GB2312" w:cs="仿宋_GB2312" w:eastAsia="仿宋_GB2312"/>
        </w:rPr>
        <w:t>详见附件：确保工期的技术组织措施.docx</w:t>
      </w:r>
    </w:p>
    <w:p>
      <w:pPr>
        <w:pStyle w:val="null3"/>
        <w:ind w:firstLine="960"/>
      </w:pPr>
      <w:r>
        <w:rPr>
          <w:rFonts w:ascii="仿宋_GB2312" w:hAnsi="仿宋_GB2312" w:cs="仿宋_GB2312" w:eastAsia="仿宋_GB2312"/>
        </w:rPr>
        <w:t>详见附件：施工机械配置和材料投入计划.docx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