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版本号：HXCG2026-04-0220260416001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周至县广济敬老院提升改造项目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HXCG2026-04-02</w:t>
      </w:r>
      <w:r>
        <w:br/>
      </w:r>
      <w:r>
        <w:br/>
      </w:r>
      <w:r>
        <w:br/>
      </w:r>
    </w:p>
    <w:p>
      <w:pPr>
        <w:pStyle w:val="null3"/>
        <w:jc w:val="center"/>
        <w:outlineLvl w:val="2"/>
      </w:pPr>
      <w:r>
        <w:rPr>
          <w:rFonts w:ascii="仿宋_GB2312" w:hAnsi="仿宋_GB2312" w:cs="仿宋_GB2312" w:eastAsia="仿宋_GB2312"/>
          <w:sz w:val="28"/>
          <w:b/>
        </w:rPr>
        <w:t>西安市周至县广济敬老院（本级）</w:t>
      </w:r>
    </w:p>
    <w:p>
      <w:pPr>
        <w:pStyle w:val="null3"/>
        <w:jc w:val="center"/>
        <w:outlineLvl w:val="2"/>
      </w:pPr>
      <w:r>
        <w:rPr>
          <w:rFonts w:ascii="仿宋_GB2312" w:hAnsi="仿宋_GB2312" w:cs="仿宋_GB2312" w:eastAsia="仿宋_GB2312"/>
          <w:sz w:val="28"/>
          <w:b/>
        </w:rPr>
        <w:t>横信项目管理有限公司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横信项目管理有限公司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西安市周至县广济敬老院（本级）</w:t>
      </w:r>
      <w:r>
        <w:rPr>
          <w:rFonts w:ascii="仿宋_GB2312" w:hAnsi="仿宋_GB2312" w:cs="仿宋_GB2312" w:eastAsia="仿宋_GB2312"/>
        </w:rPr>
        <w:t>委托，拟对</w:t>
      </w:r>
      <w:r>
        <w:rPr>
          <w:rFonts w:ascii="仿宋_GB2312" w:hAnsi="仿宋_GB2312" w:cs="仿宋_GB2312" w:eastAsia="仿宋_GB2312"/>
        </w:rPr>
        <w:t>周至县广济敬老院提升改造项目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HXCG2026-04-02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周至县广济敬老院提升改造项目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周至县广济敬老院提升改造项目，主要建设内容具体详见争性磋商文件、工程量清单及图纸。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采购包1（周至县广济敬老院提升改造项目）：属于专门面向中小企业采购。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企业法人提供营业执照、组织机构代码证、税务登记证（或统一社会信用代码的营业执照）；事业法人应提供事业单位法人证；其他组织应提供合法证明文件；自然人提供身份证</w:t>
      </w:r>
    </w:p>
    <w:p>
      <w:pPr>
        <w:pStyle w:val="null3"/>
      </w:pPr>
      <w:r>
        <w:rPr>
          <w:rFonts w:ascii="仿宋_GB2312" w:hAnsi="仿宋_GB2312" w:cs="仿宋_GB2312" w:eastAsia="仿宋_GB2312"/>
        </w:rPr>
        <w:t>2、供应商授权合法的人员参加投标全过程：法定代表人直接参加磋商的，须出具法定代表人身份证明及法定代表人身份证；法定代表人授权代表参加磋商的，须出具法定代表人授权书及授权代表身份证</w:t>
      </w:r>
    </w:p>
    <w:p>
      <w:pPr>
        <w:pStyle w:val="null3"/>
      </w:pPr>
      <w:r>
        <w:rPr>
          <w:rFonts w:ascii="仿宋_GB2312" w:hAnsi="仿宋_GB2312" w:cs="仿宋_GB2312" w:eastAsia="仿宋_GB2312"/>
        </w:rPr>
        <w:t>3、企业资质：供应商须具备建筑工程施工总承包三级及以上资质，具备建设行政主管部门颁发的有效安全生产许可证</w:t>
      </w:r>
    </w:p>
    <w:p>
      <w:pPr>
        <w:pStyle w:val="null3"/>
      </w:pPr>
      <w:r>
        <w:rPr>
          <w:rFonts w:ascii="仿宋_GB2312" w:hAnsi="仿宋_GB2312" w:cs="仿宋_GB2312" w:eastAsia="仿宋_GB2312"/>
        </w:rPr>
        <w:t>4、项目经理要求：项目经理具备建筑工程二级及以上注册建造师资格且在本单位注册，具有有效的安全生产考核合格证（建安B证），无在建工程</w:t>
      </w:r>
    </w:p>
    <w:p>
      <w:pPr>
        <w:pStyle w:val="null3"/>
      </w:pPr>
      <w:r>
        <w:rPr>
          <w:rFonts w:ascii="仿宋_GB2312" w:hAnsi="仿宋_GB2312" w:cs="仿宋_GB2312" w:eastAsia="仿宋_GB2312"/>
        </w:rPr>
        <w:t>5、财务状况报告：供应商须提供2025年度经审计的财务报告或开标前六个月内其基本账户银行出具的资信证明或财政部门认可的政府采购专业担保机构出具的担保函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6、有依法缴纳税收和社会保障资金的良好记录：供应商须提供2026年1月以来任意1个月依法缴纳税收和社会保险的相关证明材料（注：依法免税或不需要缴纳社会保险的供应商提供相关部门出具的证明文件）</w:t>
      </w:r>
    </w:p>
    <w:p>
      <w:pPr>
        <w:pStyle w:val="null3"/>
      </w:pPr>
      <w:r>
        <w:rPr>
          <w:rFonts w:ascii="仿宋_GB2312" w:hAnsi="仿宋_GB2312" w:cs="仿宋_GB2312" w:eastAsia="仿宋_GB2312"/>
        </w:rPr>
        <w:t>7、参加政府采购活动前3年内，在经营活动中没有重大违法记录：供应商须提供参加政府采购活动前3年内在经营活动中没有重大违法记录的书面声明</w:t>
      </w:r>
    </w:p>
    <w:p>
      <w:pPr>
        <w:pStyle w:val="null3"/>
      </w:pPr>
      <w:r>
        <w:rPr>
          <w:rFonts w:ascii="仿宋_GB2312" w:hAnsi="仿宋_GB2312" w:cs="仿宋_GB2312" w:eastAsia="仿宋_GB2312"/>
        </w:rPr>
        <w:t>8、本项目不接受联合体磋商：本项目不接受联合体磋商，提供书面承诺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西安市周至县广济敬老院（本级）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周至县广济镇西寨村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029-85123366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横信项目管理有限公司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陕西省西安市经济技术开发区凤城十二路与文景路交汇处首创国际城八期64栋楼307室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18091783671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采购包1：797,352.35元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代理服务费收费标准：按照国家计委颁布的《招标代理服务收费管理暂行办法》（计价格『2002』1980号）文中规定的收费标准向采购代理机构一次性全额支付。</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西安市周至县广济敬老院（本级）</w:t>
      </w:r>
      <w:r>
        <w:rPr>
          <w:rFonts w:ascii="仿宋_GB2312" w:hAnsi="仿宋_GB2312" w:cs="仿宋_GB2312" w:eastAsia="仿宋_GB2312"/>
        </w:rPr>
        <w:t>和</w:t>
      </w:r>
      <w:r>
        <w:rPr>
          <w:rFonts w:ascii="仿宋_GB2312" w:hAnsi="仿宋_GB2312" w:cs="仿宋_GB2312" w:eastAsia="仿宋_GB2312"/>
        </w:rPr>
        <w:t>横信项目管理有限公司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西安市周至县广济敬老院（本级）</w:t>
      </w:r>
      <w:r>
        <w:rPr>
          <w:rFonts w:ascii="仿宋_GB2312" w:hAnsi="仿宋_GB2312" w:cs="仿宋_GB2312" w:eastAsia="仿宋_GB2312"/>
        </w:rPr>
        <w:t>负责解释。除上述磋商文件内容，其他内容由</w:t>
      </w:r>
      <w:r>
        <w:rPr>
          <w:rFonts w:ascii="仿宋_GB2312" w:hAnsi="仿宋_GB2312" w:cs="仿宋_GB2312" w:eastAsia="仿宋_GB2312"/>
        </w:rPr>
        <w:t>横信项目管理有限公司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西安市周至县广济敬老院（本级）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横信项目管理有限公司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横信项目管理有限公司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横信项目管理有限公司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横信项目管理有限公司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联系人：于工</w:t>
      </w:r>
    </w:p>
    <w:p>
      <w:pPr>
        <w:pStyle w:val="null3"/>
      </w:pPr>
      <w:r>
        <w:rPr>
          <w:rFonts w:ascii="仿宋_GB2312" w:hAnsi="仿宋_GB2312" w:cs="仿宋_GB2312" w:eastAsia="仿宋_GB2312"/>
        </w:rPr>
        <w:t>联系电话：18091783671</w:t>
      </w:r>
    </w:p>
    <w:p>
      <w:pPr>
        <w:pStyle w:val="null3"/>
      </w:pPr>
      <w:r>
        <w:rPr>
          <w:rFonts w:ascii="仿宋_GB2312" w:hAnsi="仿宋_GB2312" w:cs="仿宋_GB2312" w:eastAsia="仿宋_GB2312"/>
        </w:rPr>
        <w:t>地址：陕西省西安市经济技术开发区凤城十二路与文景路交汇处首创国际城八期64栋楼307室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797,352.35</w:t>
      </w:r>
    </w:p>
    <w:p>
      <w:pPr>
        <w:pStyle w:val="null3"/>
      </w:pPr>
      <w:r>
        <w:rPr>
          <w:rFonts w:ascii="仿宋_GB2312" w:hAnsi="仿宋_GB2312" w:cs="仿宋_GB2312" w:eastAsia="仿宋_GB2312"/>
        </w:rPr>
        <w:t>采购包最高限价（元）: 797,352.35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周至县广济敬老院提升改造项目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797,352.35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标的名称：周至县广济敬老院提升改造项目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color w:val="000000"/>
              </w:rPr>
              <w:t>详见附件</w:t>
            </w:r>
            <w:r>
              <w:rPr>
                <w:rFonts w:ascii="仿宋_GB2312" w:hAnsi="仿宋_GB2312" w:cs="仿宋_GB2312" w:eastAsia="仿宋_GB2312"/>
                <w:sz w:val="19"/>
                <w:color w:val="000000"/>
              </w:rPr>
              <w:t>“工程量清</w:t>
            </w:r>
            <w:r>
              <w:rPr>
                <w:rFonts w:ascii="仿宋_GB2312" w:hAnsi="仿宋_GB2312" w:cs="仿宋_GB2312" w:eastAsia="仿宋_GB2312"/>
                <w:sz w:val="19"/>
                <w:color w:val="000000"/>
              </w:rPr>
              <w:t>单</w:t>
            </w:r>
            <w:r>
              <w:rPr>
                <w:rFonts w:ascii="仿宋_GB2312" w:hAnsi="仿宋_GB2312" w:cs="仿宋_GB2312" w:eastAsia="仿宋_GB2312"/>
                <w:sz w:val="19"/>
                <w:color w:val="000000"/>
              </w:rPr>
              <w:t>”及“图纸”</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1.本项目工期：60天。 2.磋商最后报价，采购内容无实质性变更的情况，不得超过第一次磋商报价，各供应商最后报价中所有报价 (与最后磋商报价比例一致) 同比例下浮。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企业法人提供营业执照、组织机构代码证、税务登记证（或统一社会信用代码的营业执照）；事业法人应提供事业单位法人证；其他组织应提供合法证明文件；自然人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法定代表人直接参加磋商的，须出具法定代表人身份证明及法定代表人身份证；法定代表人授权代表参加磋商的，须出具法定代表人授权书及授权代表身份证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授权委托书.docx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供应商须具备建筑工程施工总承包三级及以上资质，具备建设行政主管部门颁发的有效安全生产许可证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项目经理具备建筑工程二级及以上注册建造师资格且在本单位注册，具有有效的安全生产考核合格证（建安B证），无在建工程</w:t>
            </w:r>
          </w:p>
        </w:tc>
        <w:tc>
          <w:tcPr>
            <w:tcW w:type="dxa" w:w="1661"/>
          </w:tcPr>
          <w:p>
            <w:pPr>
              <w:pStyle w:val="null3"/>
            </w:pPr>
            <w:r>
              <w:rPr>
                <w:rFonts w:ascii="仿宋_GB2312" w:hAnsi="仿宋_GB2312" w:cs="仿宋_GB2312" w:eastAsia="仿宋_GB2312"/>
              </w:rPr>
              <w:t>项目管理机构组成表 供应商应提交的相关资格证明材料 无在建承诺书.docx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供应商须提供2025年度经审计的财务报告或开标前六个月内其基本账户银行出具的资信证明或财政部门认可的政府采购专业担保机构出具的担保函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供应商须提供2026年1月以来任意1个月依法缴纳税收和社会保险的相关证明材料（注：依法免税或不需要缴纳社会保险的供应商提供相关部门出具的证明文件）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w:t>
            </w:r>
          </w:p>
        </w:tc>
        <w:tc>
          <w:tcPr>
            <w:tcW w:type="dxa" w:w="3322"/>
          </w:tcPr>
          <w:p>
            <w:pPr>
              <w:pStyle w:val="null3"/>
            </w:pPr>
            <w:r>
              <w:rPr>
                <w:rFonts w:ascii="仿宋_GB2312" w:hAnsi="仿宋_GB2312" w:cs="仿宋_GB2312" w:eastAsia="仿宋_GB2312"/>
              </w:rPr>
              <w:t>供应商须提供参加政府采购活动前3年内在经营活动中没有重大违法记录的书面声明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本项目不接受联合体磋商，提供书面承诺</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至少以下三处的项目名称、项目编号与本项目完全一致： （1）竞争性磋商响应文件封面 （2）响应函 （3）授权委托书/身份证明</w:t>
            </w:r>
          </w:p>
        </w:tc>
        <w:tc>
          <w:tcPr>
            <w:tcW w:type="dxa" w:w="1661"/>
          </w:tcPr>
          <w:p>
            <w:pPr>
              <w:pStyle w:val="null3"/>
            </w:pPr>
            <w:r>
              <w:rPr>
                <w:rFonts w:ascii="仿宋_GB2312" w:hAnsi="仿宋_GB2312" w:cs="仿宋_GB2312" w:eastAsia="仿宋_GB2312"/>
              </w:rPr>
              <w:t>响应文件封面 授权委托书.docx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工期、质量标准</w:t>
            </w:r>
          </w:p>
        </w:tc>
        <w:tc>
          <w:tcPr>
            <w:tcW w:type="dxa" w:w="3322"/>
          </w:tcPr>
          <w:p>
            <w:pPr>
              <w:pStyle w:val="null3"/>
            </w:pPr>
            <w:r>
              <w:rPr>
                <w:rFonts w:ascii="仿宋_GB2312" w:hAnsi="仿宋_GB2312" w:cs="仿宋_GB2312" w:eastAsia="仿宋_GB2312"/>
              </w:rPr>
              <w:t>应满足磋商文件中要求的工期、质量标准</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已标价工程量清单 中小企业声明函 授权委托书.docx 技术服务合同条款及其他商务要求应答表 供应商应提交的相关资格证明材料 施工组织设计.docx 强制优先采购产品承诺函 响应文件封面 项目管理机构组成表 供应商认为有必要补充说明的事项.docx 残疾人福利性单位声明函 报价函 标的清单 供应商类似项目业绩一览表 无在建承诺书.docx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授权委托书.docx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同时满足以下条款：（1）货币单位符合竞争性磋商文件要求 （2）报价符合唯一性要求 （3）未超出采购预算或最高限价</w:t>
            </w:r>
          </w:p>
        </w:tc>
        <w:tc>
          <w:tcPr>
            <w:tcW w:type="dxa" w:w="1661"/>
          </w:tcPr>
          <w:p>
            <w:pPr>
              <w:pStyle w:val="null3"/>
            </w:pPr>
            <w:r>
              <w:rPr>
                <w:rFonts w:ascii="仿宋_GB2312" w:hAnsi="仿宋_GB2312" w:cs="仿宋_GB2312" w:eastAsia="仿宋_GB2312"/>
              </w:rPr>
              <w:t>已标价工程量清单 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针对本项目提供的项目施工方案及技术措施，内容包括但不限于：①施工总体思路与前期筹备；②施工流程科学规划及成本控制；③施工次序及相关技术措施；④工程重难点分析及解决措施等。以上内容专门针对本项目且符合本项目实际需求的得10分，每项有缺陷或者内容非针对于本项目的扣1分，扣完为止。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针对本项目提供的工程质量技术组织措施，内容包括但不限于：①质量管理工作流程；②工程质量保障方案；③工程质量控制体系；④材料和构配件的质量控制；⑤施工检测及工序交验方案等。以上内容专门针对本项目且符合本项目实际需求的得10分，每项有缺陷或者内容非针对于本项目的扣1分，扣完为止。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针对本项目提供的安全生产技术组织措施，内容包括但不限于：①安全生产管理体系及制度；②施工现场临时用电安全措施；③安全生产管理组织及应急预案；④安全施工保证措施等。以上内容专门针对本项目且符合本项目实际需求的得10分，每项有缺陷或者内容非针对于本项目的扣1分，扣完为止。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针对本项目提供的文明施工技术组织措施及环境保护措施，内容包括但不限于：①文明施工管理体系；②环境保护措施；③施工区域标准化封闭管理措施；④精细化扬尘与噪音防控技术方案；⑤施工废弃物分类处理等。以上内容专门针对本项目且符合本项目实际需求的得10分，每项有缺陷或者内容非针对于本项目的扣1分，扣完为止。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针对本项目提供的工程进度计划与措施，内容包括但不限于：①施工进度计划；②确保工期的技术措施；③分阶段精细化施工进度计划编制；④特殊情况应急预案等。以上内容专门针对本项目且符合本项目实际需求的得10分，每项有缺陷或者内容非针对于本项目的扣1分，扣完为止。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针对本项目提供的资源配备计划，内容包括但不限于：①设备配备计划满足施工要求；②劳动力配备；③资金配备；④监测检查仪器设备配置满足要求等。以上内容专门针对本项目且符合本项目实际需求的得8分，每项有缺陷或者内容非针对于本项目的扣1分，扣完为止。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项目风险预测与防范 、事故应急预案</w:t>
            </w:r>
          </w:p>
        </w:tc>
        <w:tc>
          <w:tcPr>
            <w:tcW w:type="dxa" w:w="2492"/>
          </w:tcPr>
          <w:p>
            <w:pPr>
              <w:pStyle w:val="null3"/>
            </w:pPr>
            <w:r>
              <w:rPr>
                <w:rFonts w:ascii="仿宋_GB2312" w:hAnsi="仿宋_GB2312" w:cs="仿宋_GB2312" w:eastAsia="仿宋_GB2312"/>
              </w:rPr>
              <w:t>针对本项目提供的项目风险预测与防范 、事故应急预案，内容包括但不限于：①项目风险预测与防范措施；②对突发事件的应急预案；③现场事故处理方案；④合理化建议等。以上内容专门针对本项目且符合本项目实际需求的得8分，每项有缺陷或者内容非针对于本项目的扣1分，扣完为止。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近五年（2021年4月1日至今）有类似项目业绩，每有 1项得 2 分，最多得 4 分。 注：1.以合同协议书复印件为准。 2.时间以合同协议书签订时间为准。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满足磋商文件要求且最终报价最低的供应商的价格为磋商基准价，其价格得分为满分。其他供应商的价格得分统一按照下列公式计算： 磋商报价得分=（磋商基准价/最终磋商报价） ×价格权值（30%） ×100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详见附件：无在建承诺书.docx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