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E198D0">
      <w:pPr>
        <w:pStyle w:val="5"/>
        <w:rPr>
          <w:rFonts w:hint="eastAsia" w:ascii="宋体" w:hAnsi="宋体" w:eastAsia="宋体" w:cs="宋体"/>
          <w:b/>
          <w:color w:val="auto"/>
          <w:spacing w:val="4"/>
          <w:sz w:val="36"/>
          <w:szCs w:val="48"/>
          <w:highlight w:val="none"/>
          <w:lang w:eastAsia="zh-CN"/>
        </w:rPr>
      </w:pPr>
    </w:p>
    <w:p w14:paraId="35121F0E">
      <w:pPr>
        <w:pStyle w:val="5"/>
        <w:rPr>
          <w:rFonts w:hint="eastAsia" w:ascii="宋体" w:hAnsi="宋体" w:eastAsia="宋体" w:cs="宋体"/>
          <w:b/>
          <w:color w:val="auto"/>
          <w:spacing w:val="4"/>
          <w:sz w:val="36"/>
          <w:szCs w:val="48"/>
          <w:highlight w:val="none"/>
          <w:lang w:eastAsia="zh-CN"/>
        </w:rPr>
      </w:pPr>
    </w:p>
    <w:p w14:paraId="7D2396B6">
      <w:pPr>
        <w:pStyle w:val="5"/>
        <w:rPr>
          <w:rFonts w:hint="eastAsia" w:ascii="宋体" w:hAnsi="宋体" w:eastAsia="宋体" w:cs="宋体"/>
          <w:b/>
          <w:color w:val="auto"/>
          <w:spacing w:val="4"/>
          <w:sz w:val="36"/>
          <w:szCs w:val="48"/>
          <w:highlight w:val="none"/>
          <w:lang w:eastAsia="zh-CN"/>
        </w:rPr>
      </w:pPr>
    </w:p>
    <w:p w14:paraId="76534EEA">
      <w:pPr>
        <w:pStyle w:val="5"/>
        <w:rPr>
          <w:rFonts w:hint="eastAsia" w:ascii="宋体" w:hAnsi="宋体" w:eastAsia="宋体" w:cs="宋体"/>
          <w:b/>
          <w:color w:val="auto"/>
          <w:spacing w:val="4"/>
          <w:sz w:val="36"/>
          <w:szCs w:val="48"/>
          <w:highlight w:val="none"/>
          <w:lang w:eastAsia="zh-CN"/>
        </w:rPr>
      </w:pPr>
    </w:p>
    <w:p w14:paraId="72F04F3D">
      <w:pPr>
        <w:pStyle w:val="5"/>
        <w:rPr>
          <w:rFonts w:hint="eastAsia"/>
          <w:highlight w:val="none"/>
        </w:rPr>
      </w:pPr>
      <w:r>
        <w:rPr>
          <w:rFonts w:hint="eastAsia" w:ascii="宋体" w:hAnsi="宋体" w:eastAsia="宋体" w:cs="宋体"/>
          <w:b/>
          <w:color w:val="auto"/>
          <w:spacing w:val="4"/>
          <w:sz w:val="36"/>
          <w:szCs w:val="48"/>
          <w:highlight w:val="none"/>
          <w:lang w:eastAsia="zh-CN"/>
        </w:rPr>
        <w:t>周至县广济敬老院提升改造项目</w:t>
      </w:r>
    </w:p>
    <w:p w14:paraId="3F271B6A">
      <w:pPr>
        <w:pStyle w:val="10"/>
        <w:jc w:val="center"/>
        <w:rPr>
          <w:rFonts w:hint="eastAsia" w:ascii="宋体" w:hAnsi="宋体" w:eastAsia="宋体" w:cs="宋体"/>
          <w:color w:val="auto"/>
          <w:sz w:val="16"/>
          <w:szCs w:val="20"/>
          <w:highlight w:val="none"/>
        </w:rPr>
      </w:pPr>
      <w:r>
        <w:rPr>
          <w:rFonts w:hint="eastAsia" w:ascii="宋体" w:hAnsi="宋体" w:eastAsia="宋体" w:cs="宋体"/>
          <w:b/>
          <w:color w:val="auto"/>
          <w:spacing w:val="4"/>
          <w:sz w:val="36"/>
          <w:szCs w:val="48"/>
          <w:highlight w:val="none"/>
          <w:lang w:eastAsia="zh-CN"/>
        </w:rPr>
        <w:t>（</w:t>
      </w:r>
      <w:r>
        <w:rPr>
          <w:rFonts w:hint="eastAsia" w:ascii="宋体" w:hAnsi="宋体" w:eastAsia="宋体" w:cs="宋体"/>
          <w:b/>
          <w:color w:val="auto"/>
          <w:spacing w:val="4"/>
          <w:sz w:val="36"/>
          <w:szCs w:val="48"/>
          <w:highlight w:val="none"/>
          <w:lang w:val="en-US" w:eastAsia="zh-CN"/>
        </w:rPr>
        <w:t>合同</w:t>
      </w:r>
      <w:r>
        <w:rPr>
          <w:rFonts w:hint="eastAsia" w:ascii="宋体" w:hAnsi="宋体" w:eastAsia="宋体" w:cs="宋体"/>
          <w:b/>
          <w:color w:val="auto"/>
          <w:spacing w:val="4"/>
          <w:sz w:val="36"/>
          <w:szCs w:val="48"/>
          <w:highlight w:val="none"/>
          <w:lang w:eastAsia="zh-CN"/>
        </w:rPr>
        <w:t>示范文本）</w:t>
      </w:r>
    </w:p>
    <w:p w14:paraId="7CC9A18F">
      <w:pPr>
        <w:adjustRightInd w:val="0"/>
        <w:snapToGrid w:val="0"/>
        <w:spacing w:before="60" w:after="60" w:line="360" w:lineRule="auto"/>
        <w:rPr>
          <w:rFonts w:hint="eastAsia" w:ascii="宋体" w:hAnsi="宋体" w:eastAsia="宋体" w:cs="宋体"/>
          <w:color w:val="auto"/>
          <w:sz w:val="24"/>
          <w:szCs w:val="24"/>
          <w:highlight w:val="none"/>
        </w:rPr>
      </w:pPr>
    </w:p>
    <w:p w14:paraId="148EC769">
      <w:pPr>
        <w:adjustRightInd w:val="0"/>
        <w:snapToGrid w:val="0"/>
        <w:spacing w:before="60" w:after="60" w:line="360" w:lineRule="auto"/>
        <w:rPr>
          <w:rFonts w:hint="eastAsia" w:ascii="宋体" w:hAnsi="宋体" w:eastAsia="宋体" w:cs="宋体"/>
          <w:color w:val="auto"/>
          <w:sz w:val="24"/>
          <w:szCs w:val="24"/>
          <w:highlight w:val="none"/>
        </w:rPr>
      </w:pPr>
    </w:p>
    <w:p w14:paraId="11AB747B">
      <w:pPr>
        <w:adjustRightInd w:val="0"/>
        <w:snapToGrid w:val="0"/>
        <w:spacing w:before="60" w:after="60" w:line="360" w:lineRule="auto"/>
        <w:rPr>
          <w:rFonts w:hint="eastAsia" w:ascii="宋体" w:hAnsi="宋体" w:eastAsia="宋体" w:cs="宋体"/>
          <w:color w:val="auto"/>
          <w:sz w:val="24"/>
          <w:szCs w:val="24"/>
          <w:highlight w:val="none"/>
        </w:rPr>
      </w:pPr>
    </w:p>
    <w:p w14:paraId="1CE98772">
      <w:pPr>
        <w:pStyle w:val="8"/>
        <w:rPr>
          <w:rFonts w:hint="eastAsia" w:ascii="宋体" w:hAnsi="宋体" w:eastAsia="宋体" w:cs="宋体"/>
          <w:color w:val="auto"/>
          <w:sz w:val="24"/>
          <w:szCs w:val="24"/>
          <w:highlight w:val="none"/>
        </w:rPr>
      </w:pPr>
    </w:p>
    <w:p w14:paraId="6D948697">
      <w:pPr>
        <w:pStyle w:val="8"/>
        <w:rPr>
          <w:rFonts w:hint="eastAsia" w:ascii="宋体" w:hAnsi="宋体" w:eastAsia="宋体" w:cs="宋体"/>
          <w:color w:val="auto"/>
          <w:sz w:val="24"/>
          <w:szCs w:val="24"/>
          <w:highlight w:val="none"/>
        </w:rPr>
      </w:pPr>
    </w:p>
    <w:p w14:paraId="085C93AE">
      <w:pPr>
        <w:adjustRightInd w:val="0"/>
        <w:snapToGrid w:val="0"/>
        <w:spacing w:before="60" w:after="60" w:line="360" w:lineRule="auto"/>
        <w:rPr>
          <w:rFonts w:hint="eastAsia" w:ascii="宋体" w:hAnsi="宋体" w:eastAsia="宋体" w:cs="宋体"/>
          <w:color w:val="auto"/>
          <w:sz w:val="24"/>
          <w:szCs w:val="24"/>
          <w:highlight w:val="none"/>
        </w:rPr>
      </w:pPr>
    </w:p>
    <w:p w14:paraId="05D27ED7">
      <w:pPr>
        <w:pStyle w:val="10"/>
        <w:rPr>
          <w:rFonts w:hint="eastAsia" w:ascii="宋体" w:hAnsi="宋体" w:eastAsia="宋体" w:cs="宋体"/>
          <w:color w:val="auto"/>
          <w:highlight w:val="none"/>
        </w:rPr>
      </w:pPr>
    </w:p>
    <w:p w14:paraId="3BDB6895">
      <w:pPr>
        <w:pStyle w:val="6"/>
        <w:rPr>
          <w:rFonts w:hint="eastAsia" w:ascii="宋体" w:hAnsi="宋体" w:eastAsia="宋体" w:cs="宋体"/>
          <w:color w:val="auto"/>
          <w:highlight w:val="none"/>
        </w:rPr>
      </w:pPr>
    </w:p>
    <w:p w14:paraId="5D855301">
      <w:pPr>
        <w:spacing w:line="360" w:lineRule="auto"/>
        <w:ind w:firstLine="2341" w:firstLineChars="745"/>
        <w:jc w:val="left"/>
        <w:rPr>
          <w:rFonts w:hint="eastAsia" w:ascii="宋体" w:hAnsi="宋体" w:eastAsia="宋体" w:cs="宋体"/>
          <w:b/>
          <w:color w:val="auto"/>
          <w:w w:val="98"/>
          <w:sz w:val="32"/>
          <w:szCs w:val="32"/>
          <w:highlight w:val="none"/>
        </w:rPr>
      </w:pPr>
      <w:r>
        <w:rPr>
          <w:rFonts w:hint="eastAsia" w:ascii="宋体" w:hAnsi="宋体" w:eastAsia="宋体" w:cs="宋体"/>
          <w:b/>
          <w:color w:val="auto"/>
          <w:w w:val="98"/>
          <w:sz w:val="32"/>
          <w:szCs w:val="32"/>
          <w:highlight w:val="none"/>
        </w:rPr>
        <w:t>项目编号：</w:t>
      </w:r>
    </w:p>
    <w:p w14:paraId="5766E510">
      <w:pPr>
        <w:spacing w:line="360" w:lineRule="auto"/>
        <w:ind w:firstLine="2341" w:firstLineChars="745"/>
        <w:jc w:val="left"/>
        <w:rPr>
          <w:rFonts w:hint="eastAsia" w:ascii="宋体" w:hAnsi="宋体" w:eastAsia="宋体" w:cs="宋体"/>
          <w:b/>
          <w:color w:val="auto"/>
          <w:w w:val="98"/>
          <w:sz w:val="32"/>
          <w:szCs w:val="32"/>
          <w:highlight w:val="none"/>
        </w:rPr>
      </w:pPr>
      <w:r>
        <w:rPr>
          <w:rFonts w:hint="eastAsia" w:ascii="宋体" w:hAnsi="宋体" w:eastAsia="宋体" w:cs="宋体"/>
          <w:b/>
          <w:color w:val="auto"/>
          <w:w w:val="98"/>
          <w:sz w:val="32"/>
          <w:szCs w:val="32"/>
          <w:highlight w:val="none"/>
        </w:rPr>
        <w:t>项目名称：</w:t>
      </w:r>
    </w:p>
    <w:p w14:paraId="73F31F5D">
      <w:pPr>
        <w:spacing w:line="360" w:lineRule="auto"/>
        <w:ind w:firstLine="2393" w:firstLineChars="745"/>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发包人：</w:t>
      </w:r>
      <w:r>
        <w:rPr>
          <w:rFonts w:hint="eastAsia" w:ascii="宋体" w:hAnsi="宋体" w:eastAsia="宋体" w:cs="宋体"/>
          <w:b/>
          <w:color w:val="auto"/>
          <w:sz w:val="32"/>
          <w:szCs w:val="32"/>
          <w:highlight w:val="none"/>
          <w:lang w:eastAsia="zh-CN"/>
        </w:rPr>
        <w:t>周至县广济敬老院</w:t>
      </w:r>
    </w:p>
    <w:p w14:paraId="2E0197FE">
      <w:pPr>
        <w:spacing w:line="360" w:lineRule="auto"/>
        <w:ind w:firstLine="2393" w:firstLineChars="745"/>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承包人:</w:t>
      </w:r>
    </w:p>
    <w:p w14:paraId="7ACCD06F">
      <w:pPr>
        <w:jc w:val="center"/>
        <w:rPr>
          <w:rFonts w:hint="eastAsia" w:ascii="宋体" w:hAnsi="宋体" w:eastAsia="宋体" w:cs="宋体"/>
          <w:b/>
          <w:color w:val="auto"/>
          <w:sz w:val="32"/>
          <w:szCs w:val="32"/>
          <w:highlight w:val="none"/>
          <w:lang w:eastAsia="zh-CN"/>
        </w:rPr>
      </w:pPr>
    </w:p>
    <w:p w14:paraId="18B7A0BA">
      <w:pPr>
        <w:adjustRightInd w:val="0"/>
        <w:snapToGrid w:val="0"/>
        <w:spacing w:before="60" w:after="60"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32"/>
          <w:szCs w:val="32"/>
          <w:highlight w:val="none"/>
        </w:rPr>
        <w:t>二〇二</w:t>
      </w:r>
      <w:r>
        <w:rPr>
          <w:rFonts w:hint="eastAsia" w:ascii="宋体" w:hAnsi="宋体" w:eastAsia="宋体" w:cs="宋体"/>
          <w:b/>
          <w:color w:val="auto"/>
          <w:sz w:val="32"/>
          <w:szCs w:val="32"/>
          <w:highlight w:val="none"/>
          <w:lang w:eastAsia="zh-CN"/>
        </w:rPr>
        <w:t>六</w:t>
      </w:r>
      <w:r>
        <w:rPr>
          <w:rFonts w:hint="eastAsia" w:ascii="宋体" w:hAnsi="宋体" w:eastAsia="宋体" w:cs="宋体"/>
          <w:b/>
          <w:color w:val="auto"/>
          <w:sz w:val="32"/>
          <w:szCs w:val="32"/>
          <w:highlight w:val="none"/>
        </w:rPr>
        <w:t>年</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月</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日</w:t>
      </w:r>
    </w:p>
    <w:p w14:paraId="3883C340">
      <w:pPr>
        <w:adjustRightInd w:val="0"/>
        <w:snapToGrid w:val="0"/>
        <w:spacing w:before="60" w:after="60" w:line="360" w:lineRule="auto"/>
        <w:jc w:val="center"/>
        <w:rPr>
          <w:rFonts w:hint="eastAsia" w:ascii="宋体" w:hAnsi="宋体" w:eastAsia="宋体" w:cs="宋体"/>
          <w:color w:val="auto"/>
          <w:sz w:val="24"/>
          <w:szCs w:val="24"/>
          <w:highlight w:val="none"/>
        </w:rPr>
      </w:pPr>
    </w:p>
    <w:p w14:paraId="313D1939">
      <w:pPr>
        <w:adjustRightInd w:val="0"/>
        <w:snapToGrid w:val="0"/>
        <w:spacing w:before="60" w:after="60" w:line="360" w:lineRule="auto"/>
        <w:jc w:val="center"/>
        <w:rPr>
          <w:rFonts w:hint="eastAsia" w:ascii="宋体" w:hAnsi="宋体" w:eastAsia="宋体" w:cs="宋体"/>
          <w:color w:val="auto"/>
          <w:sz w:val="24"/>
          <w:szCs w:val="24"/>
          <w:highlight w:val="none"/>
        </w:rPr>
      </w:pPr>
    </w:p>
    <w:p w14:paraId="6B847AB6">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3AED691D">
      <w:pPr>
        <w:pStyle w:val="5"/>
        <w:rPr>
          <w:rFonts w:hint="eastAsia"/>
          <w:highlight w:val="none"/>
        </w:rPr>
      </w:pPr>
    </w:p>
    <w:p w14:paraId="7357F359">
      <w:pPr>
        <w:pStyle w:val="10"/>
        <w:rPr>
          <w:rFonts w:hint="eastAsia" w:ascii="宋体" w:hAnsi="宋体" w:eastAsia="宋体" w:cs="宋体"/>
          <w:color w:val="auto"/>
          <w:highlight w:val="none"/>
        </w:rPr>
      </w:pPr>
    </w:p>
    <w:p w14:paraId="1AA0E2EB">
      <w:pPr>
        <w:pStyle w:val="4"/>
        <w:spacing w:before="156" w:beforeLines="50"/>
        <w:jc w:val="center"/>
        <w:rPr>
          <w:rFonts w:hint="eastAsia" w:ascii="宋体" w:hAnsi="宋体" w:eastAsia="宋体" w:cs="宋体"/>
          <w:color w:val="auto"/>
          <w:highlight w:val="none"/>
        </w:rPr>
      </w:pPr>
      <w:r>
        <w:rPr>
          <w:rFonts w:hint="eastAsia" w:ascii="宋体" w:hAnsi="宋体" w:eastAsia="宋体" w:cs="宋体"/>
          <w:color w:val="auto"/>
          <w:highlight w:val="none"/>
        </w:rPr>
        <w:t>第1</w:t>
      </w:r>
      <w:r>
        <w:rPr>
          <w:rFonts w:hint="eastAsia" w:ascii="宋体" w:hAnsi="宋体" w:eastAsia="宋体" w:cs="宋体"/>
          <w:color w:val="auto"/>
          <w:highlight w:val="none"/>
          <w:lang w:eastAsia="zh-CN"/>
        </w:rPr>
        <w:t>部分</w:t>
      </w:r>
      <w:r>
        <w:rPr>
          <w:rFonts w:hint="eastAsia" w:ascii="宋体" w:hAnsi="宋体" w:eastAsia="宋体" w:cs="宋体"/>
          <w:color w:val="auto"/>
          <w:highlight w:val="none"/>
        </w:rPr>
        <w:t>通用合同条款</w:t>
      </w:r>
    </w:p>
    <w:p w14:paraId="5158D987">
      <w:pPr>
        <w:pStyle w:val="5"/>
        <w:spacing w:line="360" w:lineRule="auto"/>
        <w:jc w:val="left"/>
        <w:rPr>
          <w:rFonts w:hint="eastAsia" w:ascii="宋体" w:hAnsi="宋体" w:eastAsia="宋体" w:cs="宋体"/>
          <w:b/>
          <w:bCs/>
          <w:color w:val="auto"/>
          <w:sz w:val="24"/>
          <w:szCs w:val="24"/>
          <w:highlight w:val="none"/>
        </w:rPr>
      </w:pPr>
      <w:bookmarkStart w:id="0" w:name="_Toc265408490"/>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一般约定</w:t>
      </w:r>
      <w:bookmarkEnd w:id="0"/>
    </w:p>
    <w:p w14:paraId="74E990B0">
      <w:pPr>
        <w:spacing w:line="360" w:lineRule="auto"/>
        <w:outlineLvl w:val="4"/>
        <w:rPr>
          <w:rFonts w:hint="eastAsia" w:ascii="宋体" w:hAnsi="宋体" w:eastAsia="宋体" w:cs="宋体"/>
          <w:color w:val="auto"/>
          <w:highlight w:val="none"/>
          <w:lang w:val="en-US" w:eastAsia="zh-CN"/>
        </w:rPr>
      </w:pPr>
      <w:r>
        <w:rPr>
          <w:rFonts w:hint="eastAsia" w:ascii="宋体" w:hAnsi="宋体" w:eastAsia="宋体" w:cs="宋体"/>
          <w:b/>
          <w:bCs/>
          <w:color w:val="auto"/>
          <w:sz w:val="24"/>
          <w:szCs w:val="24"/>
          <w:highlight w:val="none"/>
          <w:lang w:val="en-US" w:eastAsia="zh-CN"/>
        </w:rPr>
        <w:t>1.1词语定义</w:t>
      </w:r>
    </w:p>
    <w:p w14:paraId="3B3B90D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通用合同条款、专用合同条款中的下列词语应具有本款所赋予的含义。</w:t>
      </w:r>
    </w:p>
    <w:p w14:paraId="62F15D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1.1.1合同</w:t>
      </w:r>
    </w:p>
    <w:p w14:paraId="3198F38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1.1.1.1合同文件（或称合同）：指合同协议书、中标通知书、投标函及投标函附录、专用合同条款、通用合同条款、技术标准和要求、图纸、已标价工程量清单，以及其他合同文件。</w:t>
      </w:r>
    </w:p>
    <w:p w14:paraId="3C1601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1.1.1.2合同协议书：指第1.5款所指的合同协议书。</w:t>
      </w:r>
    </w:p>
    <w:p w14:paraId="4515C4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1.1.1.3中标通知书：指发包人通知承包人中标的函件。</w:t>
      </w:r>
    </w:p>
    <w:p w14:paraId="255C01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1.1.1.4投标函：指构成合同文件组成部分的由承包人填写并签署的投标函。</w:t>
      </w:r>
    </w:p>
    <w:p w14:paraId="0D967F9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1.1.1.5投标函附录：指附在投标函后构成合同文件的投标函附录。</w:t>
      </w:r>
    </w:p>
    <w:p w14:paraId="355745AD">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1.1.1.6技术标准和要求：指构成合同文件组成部分的名为技术标准和要求（合同技术条款）的文件，包括合同双方当事人约定对其所作的修改或补充。</w:t>
      </w:r>
    </w:p>
    <w:p w14:paraId="3FEC25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1.1.1.7图纸：指列入合同的招标图纸、投标图纸和发包人按合同约定向承包人提供的施工图纸和其它图纸（包括配套说明和有关资料）。列入合同的招标图纸已成为合同文件的一部分，具有合同效力，主要用于在履行合同中作为衡量变更的依据，但不能直接用于施工。经发包人确认进入合同的投标图纸亦成为合同文件的一部分，用于在履行合同中检验承包人是否按其投标时承诺的条件进行施工的依据，亦不能直接用于施工。</w:t>
      </w:r>
    </w:p>
    <w:p w14:paraId="7A4DA07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1.1.1.8己标价工程量清单：指构成合同文件组成部分的由承包人按照规定的格式和要求填写并标明价格的工程量清单。</w:t>
      </w:r>
    </w:p>
    <w:p w14:paraId="248835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1.1.1.9其他合同文件：指经合同双方当事人确认构成合同文件的其他文件。</w:t>
      </w:r>
    </w:p>
    <w:p w14:paraId="039D8B7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1.1.2合同当事人和人员</w:t>
      </w:r>
    </w:p>
    <w:p w14:paraId="70A80E5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1.1.2.1合同当事人：指发包人和（或）承包人。</w:t>
      </w:r>
    </w:p>
    <w:p w14:paraId="47DCDB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1.1.2.2发包人：指专用合同条款中指明并与承包人在合同协议书中签字的当事人。</w:t>
      </w:r>
    </w:p>
    <w:p w14:paraId="513D85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1.1.2.3承包人：指专用合同条款中指明并与发包人在合同协议书中签字的当事人。</w:t>
      </w:r>
    </w:p>
    <w:p w14:paraId="2CC33E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1.1.2.4承包人项目经理：指承包人派驻施工场地的全权负责人。</w:t>
      </w:r>
    </w:p>
    <w:p w14:paraId="42214E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1.1.2.5分包人：指专用合同条款中指明的，从承包人处分包合同中某一部分工程，并与其签订分包合同的分包人。</w:t>
      </w:r>
    </w:p>
    <w:p w14:paraId="283E293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1.1.2.6监理人：指在专用合同条款中指明的，受发包人委托对合同履行实施管理的法人或其他组织。</w:t>
      </w:r>
    </w:p>
    <w:p w14:paraId="420E8AC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1.1.2.7总监理工程师（总监）：指由监理人委派常驻施工场地对合同履行实施管理的全权负责人。</w:t>
      </w:r>
    </w:p>
    <w:p w14:paraId="51899F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1.1.3工程和设备</w:t>
      </w:r>
    </w:p>
    <w:p w14:paraId="4C1C65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1.1.3.1工程：指永久工程和（或）临时工程。</w:t>
      </w:r>
    </w:p>
    <w:p w14:paraId="0CAFDB8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1.1.3.2永久工程：指按合同约定建造并移交给发包人的工程，包括工程设备。</w:t>
      </w:r>
    </w:p>
    <w:p w14:paraId="6483E5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1.1.3.3临时工程：指为完成合同约定的永久工程所修建的各类临时性工程，不包括施工设备。</w:t>
      </w:r>
    </w:p>
    <w:p w14:paraId="76F722B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1.1.3.4单位工程：指专用合同条款中指明特定范围的永久工程。</w:t>
      </w:r>
    </w:p>
    <w:p w14:paraId="2EBD16D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1.1.3.5工程设备：指构成或计划构成永久工程一部分的机电设备、金属结构设备、仪器装置及其他类似的设备和装置。</w:t>
      </w:r>
    </w:p>
    <w:p w14:paraId="54E167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1.1.3.6施工设备：指为完成合同约定的各项工作所需的设备、器具和其他物品，不包括临时工程和材料。</w:t>
      </w:r>
    </w:p>
    <w:p w14:paraId="457D44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1.1.3.7临时设施：指为完成合同约定的各项工作所服务的临时性生产和生活设施。</w:t>
      </w:r>
    </w:p>
    <w:p w14:paraId="6A7471D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1.1.3.8承包人设备：指承包人自带的施工设备。</w:t>
      </w:r>
    </w:p>
    <w:p w14:paraId="3D464E3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1.1.3.9施工场地（或称工地、现场）：指用于合同工程施工的场所，以及在合同中指定作为施工场地组成部分的其他场所，包括永久占地和临时占地。</w:t>
      </w:r>
    </w:p>
    <w:p w14:paraId="6F496A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1.1.3.10永久占地：指发包人为建设本合同工程永久征用的场地</w:t>
      </w:r>
    </w:p>
    <w:p w14:paraId="0F78430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1.1.3.11临时占地：指发包人为建设本合同工程临时征用，承包人在完工后须按合同要求退还的场地。</w:t>
      </w:r>
    </w:p>
    <w:p w14:paraId="4BB2A3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1.1.4日期</w:t>
      </w:r>
    </w:p>
    <w:p w14:paraId="51D6892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1.1.4.1开工通知：指监理人按第11.1款通知承包人开工的函件。</w:t>
      </w:r>
    </w:p>
    <w:p w14:paraId="652C6A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1.1.4.2开工日期：指监理人按第11.1款发出的开工通知中写明的开工日期。</w:t>
      </w:r>
    </w:p>
    <w:p w14:paraId="39DAD0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1.1.4.3工期：指承包人在投标函中承诺的完成合同工程所需的期限，包括按第11.3款、第11.4款和第11.6款约定所作的变更。</w:t>
      </w:r>
    </w:p>
    <w:p w14:paraId="3146D08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1.1.4.4竣工日期：即合同工程完工日期，指第1.1.4.3目约定工期届满时的日期。实际完工日期以合同工程完工证书中写明的日期为准。</w:t>
      </w:r>
    </w:p>
    <w:p w14:paraId="2BBED6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1.1.4.5缺陷责任期：即工程质量保修期，指履行第19.2款约定的缺陷责任的期限，包括根据第19.3款约定所作的延长，具体期限由专用合同条款约定。</w:t>
      </w:r>
    </w:p>
    <w:p w14:paraId="7444EF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1.1.4.6基准日期：指投标截止时间前28天的日期。</w:t>
      </w:r>
    </w:p>
    <w:p w14:paraId="7183A2C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1.1.4.7天：除特别指明外，指日历天。合同中按天计算时间的，开始当天不计入，从次日开始计算。期限最后一天的截止时间为当天24:00。</w:t>
      </w:r>
    </w:p>
    <w:p w14:paraId="42E65FF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1.1.5合同价格和费用</w:t>
      </w:r>
    </w:p>
    <w:p w14:paraId="6E1FD3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1.1.5.1签约合同价：指签定合同时合同协议书中写明的，包括了暂列金额、暂估价的合同总金额。</w:t>
      </w:r>
    </w:p>
    <w:p w14:paraId="5BF5EE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1.1.5.2合同价格：指承包人按合同约定完成了包括缺陷责任期内的全部承包工作后，发包人应付给承包人的金额，包括在履行合同过程中按合同约定进行的变更和调整。</w:t>
      </w:r>
    </w:p>
    <w:p w14:paraId="45D787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1.1.5.3费用：指为履行合同所发生的或将要发生的所有合理开支，包括管理费和应分摊的其他费用，但不包括利润。</w:t>
      </w:r>
    </w:p>
    <w:p w14:paraId="2EA90C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1.1.5.4暂列金额：指已标价工程量清单中所列的暂列金额，用于在签订协议书时尚未确定或不可预见变更的施工及其所需材料、工程设备、服务等的金额，包括以计日工方式支付的金额。</w:t>
      </w:r>
    </w:p>
    <w:p w14:paraId="573C05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1.1.5.5暂估价：指发包人在工程量清单中给定的用于支付必然发生但暂时不能确定价格的材料、设备以及专业工程的金额。</w:t>
      </w:r>
    </w:p>
    <w:p w14:paraId="4064AA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1.1.5.6计日工：指对零星工作采取的一种计价方式，按合同中的计日工子目及其单价计价付款。</w:t>
      </w:r>
    </w:p>
    <w:p w14:paraId="471715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1.1.5.7质量保证金（或称保留金）：指按第17:41款约定用于保证在缺陷责任期内履行缺陷修复义务的金额。</w:t>
      </w:r>
    </w:p>
    <w:p w14:paraId="293E24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1.1.6其他</w:t>
      </w:r>
    </w:p>
    <w:p w14:paraId="2A0B7C8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1.1.6.1书面形式：指合同文件、信函、电报、传真等可以有形地表现所载内容的形式。</w:t>
      </w:r>
    </w:p>
    <w:p w14:paraId="762181CD">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1.2语言文字</w:t>
      </w:r>
    </w:p>
    <w:p w14:paraId="5DA9F7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除专用术语外，合同使用的语言文字为中文。必要时专用术语应附有中文注释。</w:t>
      </w:r>
    </w:p>
    <w:p w14:paraId="3D559C77">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1.3法律</w:t>
      </w:r>
    </w:p>
    <w:p w14:paraId="064D8AA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适用于合同的法律包括中华人民共和国法律、行政法规、部门规章，以及工程所在地的地方法规、自治条例、单行条例和地方政府规章。</w:t>
      </w:r>
    </w:p>
    <w:p w14:paraId="766AF53A">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1.4合同文件的优先顺序</w:t>
      </w:r>
    </w:p>
    <w:p w14:paraId="5C8728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组成合同的各项文件应互相解释，互为说明。除专用合同条款另有约定外，解释合同文件的优先顺序如下：</w:t>
      </w:r>
    </w:p>
    <w:p w14:paraId="18F35E4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（l）合同协议书；</w:t>
      </w:r>
    </w:p>
    <w:p w14:paraId="1480FA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（2）中标通知书；</w:t>
      </w:r>
    </w:p>
    <w:p w14:paraId="6C9C7A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（3）投标函及投标函附录；</w:t>
      </w:r>
    </w:p>
    <w:p w14:paraId="4465FBD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（4）专用合同条款；</w:t>
      </w:r>
    </w:p>
    <w:p w14:paraId="0241247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（5）通用合同条款；</w:t>
      </w:r>
    </w:p>
    <w:p w14:paraId="6B4609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（6）技术标准和要求；</w:t>
      </w:r>
    </w:p>
    <w:p w14:paraId="6782011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（7）图纸；</w:t>
      </w:r>
    </w:p>
    <w:p w14:paraId="764AFA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（8）已标价工程量清单；</w:t>
      </w:r>
    </w:p>
    <w:p w14:paraId="7ECC63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（9）其他合同文件。</w:t>
      </w:r>
    </w:p>
    <w:p w14:paraId="63C2274B">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1.5合同协议书</w:t>
      </w:r>
    </w:p>
    <w:p w14:paraId="37C05D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465417BF">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1.6图纸和承包人文件</w:t>
      </w:r>
    </w:p>
    <w:p w14:paraId="74D320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1.6.1图纸的提供</w:t>
      </w:r>
    </w:p>
    <w:p w14:paraId="179289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发包人应按技术标准和要求（合同技术条款）约定的期限和数量将施工图纸以及其它图纸（包括配套说明和有关资料）提供给承包人。由于发包人未按时提供图纸造成工期延误的，按第11.3款的约定办理。</w:t>
      </w:r>
    </w:p>
    <w:p w14:paraId="55F14F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1.6.2承包人提供的文件</w:t>
      </w:r>
    </w:p>
    <w:p w14:paraId="28C727B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承包人提供的文件应按技术标准和要求（合同技术条款）约定的期限和数量提供给监理人。监理人应按技术标准和要求（合同技术条款）约定的期限批复承包人。</w:t>
      </w:r>
    </w:p>
    <w:p w14:paraId="22A3F3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1.6.3图纸的修改</w:t>
      </w:r>
    </w:p>
    <w:p w14:paraId="305B67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593C42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1.6.4图纸的错误</w:t>
      </w:r>
    </w:p>
    <w:p w14:paraId="4627632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承包人发现发包人提供的图纸存在明显错误或疏忽，应及时通知监理人。</w:t>
      </w:r>
    </w:p>
    <w:p w14:paraId="68A8F62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1.6.5图纸和承包人文件的保管</w:t>
      </w:r>
    </w:p>
    <w:p w14:paraId="52F7FAB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监理人和承包人均应在施工场地各保存一套完整的包含第1.6.1款、第1.6.2款、第1.6.3款约定内容的图纸和承包人文件。</w:t>
      </w:r>
    </w:p>
    <w:p w14:paraId="43739AB5">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1.7联络</w:t>
      </w:r>
    </w:p>
    <w:p w14:paraId="1FCCCC2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1.7.1与合同有关的通知、批准、证明、证书、指示、要求、请求、同意、意见、确定和决定等，均应采用书面形式。</w:t>
      </w:r>
    </w:p>
    <w:p w14:paraId="293367C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第1.7.1款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0BD575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1.7.3来往函件均应按合同约定的期限及时发出和答复，不得无故扣压和拖延，亦不得拒收。否则，由此造成的后果有责任方负责。</w:t>
      </w:r>
    </w:p>
    <w:p w14:paraId="55339C0D">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1.8转让</w:t>
      </w:r>
    </w:p>
    <w:p w14:paraId="0D1AA0B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除合同另有约定外，未经对方当事人同意，一方当事人不得将合同权利全部或部分转让给第三人，也不得全部或部分转移合同义务。</w:t>
      </w:r>
    </w:p>
    <w:p w14:paraId="1DDE811E">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1.9严禁贿赂</w:t>
      </w:r>
    </w:p>
    <w:p w14:paraId="16E13F4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合同双方当事人不得以贿赂或变相贿赂的方式，谋取不当利益或损害对方权益。因贿赂造成对方损失的，行为人应赔偿损失，并承担相应的法律责任。</w:t>
      </w:r>
    </w:p>
    <w:p w14:paraId="31871CDB">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1.10化石、文物</w:t>
      </w:r>
    </w:p>
    <w:p w14:paraId="3CFE23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1.10.1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2925EE3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1.10.2承包人发现文物后不及时报告或隐瞒不报，致使文物丢失或损坏的，应赔偿损失，并承担相应的法律责任。</w:t>
      </w:r>
    </w:p>
    <w:p w14:paraId="18B731C4">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1.11专利技术</w:t>
      </w:r>
    </w:p>
    <w:p w14:paraId="175504E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1.11.1承包人在使用任何材料、承包人设备、工程设备或采用施工工艺时，因侵犯专利权或其他知识产权所引起的责任，由承包人承担，但由于遵照发包人提供的设计或技术标准和要求引起的除外。</w:t>
      </w:r>
    </w:p>
    <w:p w14:paraId="052FADB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1.11.2承包人在投标文件中采用专利技术的，专利技术的使用费包含在投标报价内。</w:t>
      </w:r>
    </w:p>
    <w:p w14:paraId="0C01AE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1.11.3承包人的技术秘密和声明需要保密的资料和信息，发包人和监理人不得为合同以外的目的泄露给他人。</w:t>
      </w:r>
    </w:p>
    <w:p w14:paraId="5F5636E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1.11.4合同实施过程中，发包人要求承包人采用专利技术的，发包人应办理相应的使用手续，承包人应按发包人约定的条件使用，并承担使用专利技术的相关试验工作，所需费用由发包人承担。</w:t>
      </w:r>
    </w:p>
    <w:p w14:paraId="335DB57B">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1.12图纸和文件的保密</w:t>
      </w:r>
    </w:p>
    <w:p w14:paraId="127CE8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1.12.1发包人提供的图纸和文件，未经发包人同意，承包人不得为合同以外的目的泄露给他人或公开发表与引用。</w:t>
      </w:r>
    </w:p>
    <w:p w14:paraId="4F7BEEE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1.12.2承包人提供的文件，未经承包人同意，发包人和监理人不得为合同以外的目的泄露给他人或公开发表与引用。</w:t>
      </w:r>
    </w:p>
    <w:p w14:paraId="24050372">
      <w:pPr>
        <w:pStyle w:val="5"/>
        <w:rPr>
          <w:rFonts w:hint="eastAsia" w:ascii="宋体" w:hAnsi="宋体" w:eastAsia="宋体" w:cs="宋体"/>
          <w:color w:val="auto"/>
          <w:sz w:val="24"/>
          <w:szCs w:val="24"/>
          <w:highlight w:val="none"/>
        </w:rPr>
      </w:pPr>
      <w:bookmarkStart w:id="1" w:name="_Toc265408491"/>
      <w:r>
        <w:rPr>
          <w:rFonts w:hint="eastAsia" w:ascii="宋体" w:hAnsi="宋体" w:eastAsia="宋体" w:cs="宋体"/>
          <w:color w:val="auto"/>
          <w:sz w:val="24"/>
          <w:szCs w:val="24"/>
          <w:highlight w:val="none"/>
        </w:rPr>
        <w:t>2发包人义务</w:t>
      </w:r>
      <w:bookmarkEnd w:id="1"/>
    </w:p>
    <w:p w14:paraId="5B22616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2.1遵守法律</w:t>
      </w:r>
    </w:p>
    <w:p w14:paraId="0059C7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发包人在履行合同过程中应遵守法律，并保证承包人免于承担因发包人违反法律而引起的任何责任。</w:t>
      </w:r>
    </w:p>
    <w:p w14:paraId="18B36EB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2.2发出开工通知</w:t>
      </w:r>
    </w:p>
    <w:p w14:paraId="18CA4FE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发包人应委托监理人按第11.1款的约定向承包人发出开工通知。</w:t>
      </w:r>
    </w:p>
    <w:p w14:paraId="312797F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2.3提供施工场地</w:t>
      </w:r>
    </w:p>
    <w:p w14:paraId="0ED4EC6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1907E5E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2.3.2发包人提供的施工用地范围在专用合同条款中约定。</w:t>
      </w:r>
    </w:p>
    <w:p w14:paraId="364A71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除专用合同条款另有约定外，发包人应按技术标准和要求（合同技术条款）的约定，向承包人提供施工场地内的工程地质图纸和报告，以及地下障碍物图纸等施工场地有关资料，并保证资料的真实、准确、完整。</w:t>
      </w:r>
    </w:p>
    <w:p w14:paraId="5943E6C8">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2.4协助承包人办理证件和批件</w:t>
      </w:r>
    </w:p>
    <w:p w14:paraId="5A8B951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发包人应协助承包人办理法律规定的有关施工证件和批件。</w:t>
      </w:r>
    </w:p>
    <w:p w14:paraId="5F0630BA">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2.5组织设计交底</w:t>
      </w:r>
    </w:p>
    <w:p w14:paraId="63566F4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发包人应根据合同进度计划，组织设计单位向承包人进行设计交底。</w:t>
      </w:r>
    </w:p>
    <w:p w14:paraId="50B3FC27">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2.6支付合同价款</w:t>
      </w:r>
    </w:p>
    <w:p w14:paraId="377C6B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发包人应按合同约定向承包人及时支付合同价款。</w:t>
      </w:r>
    </w:p>
    <w:p w14:paraId="18258ADC">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2.7组织竣工验收（组织法人验收）</w:t>
      </w:r>
    </w:p>
    <w:p w14:paraId="5C084EA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发包人应按合同约定及时组织法人验收。</w:t>
      </w:r>
    </w:p>
    <w:p w14:paraId="3BB8D4CE">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2.8其他义务</w:t>
      </w:r>
    </w:p>
    <w:p w14:paraId="747630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其他义务在专用合同条款中补充约定。</w:t>
      </w:r>
    </w:p>
    <w:p w14:paraId="27EC63EB">
      <w:pPr>
        <w:pStyle w:val="5"/>
        <w:rPr>
          <w:rFonts w:hint="eastAsia" w:ascii="宋体" w:hAnsi="宋体" w:eastAsia="宋体" w:cs="宋体"/>
          <w:color w:val="auto"/>
          <w:sz w:val="24"/>
          <w:szCs w:val="24"/>
          <w:highlight w:val="none"/>
        </w:rPr>
      </w:pPr>
      <w:bookmarkStart w:id="2" w:name="_Toc265408492"/>
      <w:r>
        <w:rPr>
          <w:rFonts w:hint="eastAsia" w:ascii="宋体" w:hAnsi="宋体" w:eastAsia="宋体" w:cs="宋体"/>
          <w:color w:val="auto"/>
          <w:sz w:val="24"/>
          <w:szCs w:val="24"/>
          <w:highlight w:val="none"/>
        </w:rPr>
        <w:t>3监理人</w:t>
      </w:r>
      <w:bookmarkEnd w:id="2"/>
    </w:p>
    <w:p w14:paraId="04F9D9C7">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3.1监理人的职责和权力</w:t>
      </w:r>
    </w:p>
    <w:p w14:paraId="686756A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3.1.1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p>
    <w:p w14:paraId="55C73B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3.1.2监理人发出的任何指示应视为已得到发包人的批准，但监理人无权免除或变更合同约定的发包人和承包人的权利、义务和责任。</w:t>
      </w:r>
    </w:p>
    <w:p w14:paraId="521761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3.1.3合同约定应由承包人承担的义务和责任，不因监理人对承包人提交文件的审查或批准，对工程、材料和设备的检查和检验，以及为实施监理作出的指示等职务行为而减轻或解除。</w:t>
      </w:r>
    </w:p>
    <w:p w14:paraId="273B8544">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3.2总监理工程师</w:t>
      </w:r>
    </w:p>
    <w:p w14:paraId="5FF003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发包人应在发出开工通知前将总监理工程师的任命通知承包人。总监理工程师更换时，应在调离14天前通知承包人。总监理工程师短期离开施工场地的，应委派代表代行其职责，并通知承包人。</w:t>
      </w:r>
    </w:p>
    <w:p w14:paraId="61140C44">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3.3监理人员</w:t>
      </w:r>
    </w:p>
    <w:p w14:paraId="0E660A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总监理工程师可以授权其他监理人员负责执行其指派的一项或多项监理工作。总监理工程师应将被授权监理人员的姓名及其授权范围通知承包人。被授权的监理人员在授权范围内发出的指示视为己得到总监理工程师的同意，与总监理工程师发出的指示具有同等效力。总监理工程师撤销某项授权时，应将撤销授权的决定及时通知承包人。</w:t>
      </w:r>
    </w:p>
    <w:p w14:paraId="34F9A2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3.3.2监理人员对承包人的任何工作、工程或其采用的材料和工程设备未在约定的或合理的期限内提出否定意见的，视为已获批准，但不影响监理人在以后拒绝该项工作、工程、材料或工程设备的权利。</w:t>
      </w:r>
    </w:p>
    <w:p w14:paraId="3DF7C6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3.3.3承包人对总监理工程师授权的监理人员发出的指示有疑问的，可向总监理工程师提出书面异议，总监理工程师应在48小时内对该指示予以确认、更改或撤销。</w:t>
      </w:r>
    </w:p>
    <w:p w14:paraId="046CC2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3.3.4除专用合同条款另有约定外，总监理工程师不应将第3.5款约定应由总监理工程师作出确定的权力授权或委托给其他监理人员。</w:t>
      </w:r>
    </w:p>
    <w:p w14:paraId="64A33C0F">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3.4监理人的指示</w:t>
      </w:r>
    </w:p>
    <w:p w14:paraId="18D004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3.4.1监理人应按第3.1款的约定向承包人发出指示，监理人的指示应盖有监理人授权的施工场地机构章，并由总监理工程师或总监理工程师按第3.3.1款约定授权的监理人员签字。</w:t>
      </w:r>
    </w:p>
    <w:p w14:paraId="67B8FBC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3.4.2承包人收到监理人按第3.4.1款作出的指示后应遵照执行。指示构成变更的，应按第15条处理。</w:t>
      </w:r>
    </w:p>
    <w:p w14:paraId="0D4FE0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3.4.3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5DDD6F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3.4.4除合同另有约定外，承包人只从总监理工程师或按第3.3.1款被授权的监理人员处取得指示。</w:t>
      </w:r>
    </w:p>
    <w:p w14:paraId="4E8B0A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3.4.5由于监理人未能按合同约定发出指示、指示延误或指示错误而导致承包人费用增加和（或）工期延误的，由发包人承担赔偿责任。</w:t>
      </w:r>
    </w:p>
    <w:p w14:paraId="304A2525">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3.5商定或确定</w:t>
      </w:r>
    </w:p>
    <w:p w14:paraId="61B035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3.5.1合同约定总监理工程师应按照本款对任何事项进行商定或确定时，总监理工程师应与合同当事人协商，尽量达成一致。不能达成一致的，总监理工程师应认真研究后审慎确定。</w:t>
      </w:r>
    </w:p>
    <w:p w14:paraId="5188C8D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3.5.2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作出修改的，按修改后的结果执行。</w:t>
      </w:r>
    </w:p>
    <w:p w14:paraId="16EF6161">
      <w:pPr>
        <w:pStyle w:val="5"/>
        <w:rPr>
          <w:rFonts w:hint="eastAsia" w:ascii="宋体" w:hAnsi="宋体" w:eastAsia="宋体" w:cs="宋体"/>
          <w:color w:val="auto"/>
          <w:sz w:val="24"/>
          <w:szCs w:val="24"/>
          <w:highlight w:val="none"/>
        </w:rPr>
      </w:pPr>
      <w:bookmarkStart w:id="3" w:name="_Toc265408493"/>
      <w:r>
        <w:rPr>
          <w:rFonts w:hint="eastAsia" w:ascii="宋体" w:hAnsi="宋体" w:eastAsia="宋体" w:cs="宋体"/>
          <w:color w:val="auto"/>
          <w:sz w:val="24"/>
          <w:szCs w:val="24"/>
          <w:highlight w:val="none"/>
        </w:rPr>
        <w:t>4承包人</w:t>
      </w:r>
      <w:bookmarkEnd w:id="3"/>
    </w:p>
    <w:p w14:paraId="1484B425">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4.1承包人的一般义务</w:t>
      </w:r>
    </w:p>
    <w:p w14:paraId="2CE523B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4.1.1遵守法律</w:t>
      </w:r>
    </w:p>
    <w:p w14:paraId="7A90F63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承包人在履行合同过程中应遵守法律，并保证发包人免于承担因承包人违反法律而引起的任何责任。</w:t>
      </w:r>
    </w:p>
    <w:p w14:paraId="46EF17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4.1.2依法纳税</w:t>
      </w:r>
    </w:p>
    <w:p w14:paraId="32E0F5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承包人应按有关法律规定纳税，应缴纳的税金包括在合同价格内。</w:t>
      </w:r>
    </w:p>
    <w:p w14:paraId="22CE935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4.1.3完成各项承包工作</w:t>
      </w:r>
    </w:p>
    <w:p w14:paraId="126AF29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按合同约定以及监理人根据第3.4款作出的指示，实施、完成全部工程，并修补工程中的任何缺陷。除第5.2款、第6.2款另有约定外，承包人应提供为完成合同工作所需的劳务、材料、施工设备、工程设备和其它物品，并按合同约定负责临时设施的设计、建造、运行、维护、管理和拆除。</w:t>
      </w:r>
    </w:p>
    <w:p w14:paraId="712A23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4.1.4对施工作业和施工方法的完备性负责</w:t>
      </w:r>
    </w:p>
    <w:p w14:paraId="21FBD40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承包人应按合同约定的工作内容和施工进度要求，编制施工组织设计和施工措施计划，并对所有施工作业和施工方法的完备性和安全可靠性负责。</w:t>
      </w:r>
    </w:p>
    <w:p w14:paraId="450064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4.1.5保证工程施工和人员的安全</w:t>
      </w:r>
    </w:p>
    <w:p w14:paraId="32A86D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承包人应按第9.2款约定采取施工安全措施，确保工程及其人员、材料、设备和设施的安全，防止因工程施工造成的人身伤害和财产损失。</w:t>
      </w:r>
    </w:p>
    <w:p w14:paraId="12C37D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4.1.6负责施工场地及其周边环境与生态的保护工作</w:t>
      </w:r>
    </w:p>
    <w:p w14:paraId="10CCC0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承包人应按照第9.4款约定负责施工场地及其周边环境与生态的保护工作。</w:t>
      </w:r>
    </w:p>
    <w:p w14:paraId="60542E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4.1.7避免施工对公众与他人的利益造成损害</w:t>
      </w:r>
    </w:p>
    <w:p w14:paraId="602BEC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DF070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4.1.8为他人提供方便</w:t>
      </w:r>
    </w:p>
    <w:p w14:paraId="290551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承包人应按监理人的指示为他人在施工场地或附近实施与工程有关的其他各项工作提供可能的条件。除合同另有约定外，提供有关条件的内容和可能发生的费用，由监理人按第3.5款商定或确定。</w:t>
      </w:r>
    </w:p>
    <w:p w14:paraId="169CCD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4.1.9工程的维护和照管</w:t>
      </w:r>
    </w:p>
    <w:p w14:paraId="4EA09E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5B97BF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4.1.10其他义务</w:t>
      </w:r>
    </w:p>
    <w:p w14:paraId="7523A22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其他义务在专用合同条款中补充约定。</w:t>
      </w:r>
    </w:p>
    <w:p w14:paraId="424DAD6B">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4.2履约担保</w:t>
      </w:r>
    </w:p>
    <w:p w14:paraId="18A68D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承包人应保证其履约担保在发包人颁发工程完工证书前一直有效。发包人应在合同工程完工证书颁发后28天内把履约担保退还给承包人。</w:t>
      </w:r>
    </w:p>
    <w:p w14:paraId="06E2D85D">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4.3分包</w:t>
      </w:r>
    </w:p>
    <w:p w14:paraId="37DD8A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4.3.1承包人不得将其承包的全部工程转包给第三人，或将其承包的全部工程肢解后以分包的名义转包给第三人。</w:t>
      </w:r>
    </w:p>
    <w:p w14:paraId="503FE5C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4.3.2承包人不得将工程主体、关键性工作分包给第三人。除专用合同条款另有约定外，未经发包人同意，承包人不得将工程的其他部分或工作分包给第三人。</w:t>
      </w:r>
    </w:p>
    <w:p w14:paraId="0E37E0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4.3.3分包人的资格能力应与其分包工程的标准和规模相适应。</w:t>
      </w:r>
    </w:p>
    <w:p w14:paraId="6EE3215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4.3.4按投标函附录约定分包工程的，承包人应向发包人和监理人提交分包合同副本。</w:t>
      </w:r>
    </w:p>
    <w:p w14:paraId="699DB05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4.3.5承包人应与分包人就分包工程向发包人承担连带责任。</w:t>
      </w:r>
    </w:p>
    <w:p w14:paraId="63ED5DE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52DA394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3F3D81B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由指定分包人造成的与其分包工作有关的一切索赔、诉讼和损失赔偿由指定分包人直接对发包人负责，承包人不对此承担责任。</w:t>
      </w:r>
    </w:p>
    <w:p w14:paraId="1312B36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4.3.8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19A72A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4.3.9除第4.3.7款规定的指定分包外，承包人对其分包项目的实施以及分包人的行为向发包人负全部责任。承包人应对分包项目的工程进度、质量、安全、计量和验收等实施监督和管理。</w:t>
      </w:r>
    </w:p>
    <w:p w14:paraId="6BEFDA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4.3.10分包人应按专用合同条款的约定设立项目管理机构组织管理分包工程的施工活动。</w:t>
      </w:r>
    </w:p>
    <w:p w14:paraId="63D602BE">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4.4联合体</w:t>
      </w:r>
    </w:p>
    <w:p w14:paraId="3F8A142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4.4.1联合体各方应共同与发包人签订合同协议书。联合体各方应为履行合同承担连带责任。</w:t>
      </w:r>
    </w:p>
    <w:p w14:paraId="5A89E4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4.4.2联合体协议经发包人确认后作为合同附件。在履行合同过程中，未经发包人同意，不得修改联合体协议。</w:t>
      </w:r>
    </w:p>
    <w:p w14:paraId="460AE2E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4.4.3联合体牵头人负责与发包人和监理人联系，并接受指示，负责组织联合体各成员全面履行合同。</w:t>
      </w:r>
    </w:p>
    <w:p w14:paraId="5EFF0C09">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4.5承包人项目经理</w:t>
      </w:r>
    </w:p>
    <w:p w14:paraId="44C2D6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4.5.1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6C26C2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4.5.2承包人项目经理应按合同约定以及监理人按第3.4款作出的指示，负责组织合同工程的实施。在情况紧急且无法与监理人取得联系时，可采取保证工程和人员生命财产安令的紧急措施，并在采取措施后24小时内向监理人提交书面报告。</w:t>
      </w:r>
    </w:p>
    <w:p w14:paraId="035D666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4.5.3承包人为履行合同发出的一切函件均应盖有承包人授权的施工场地管理机构章，并由承包人项目经理或其授权代表签字。</w:t>
      </w:r>
    </w:p>
    <w:p w14:paraId="2262FDC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4.5.4承包人项目经理可以授权其下属人员履行其某项职责，但事先应将这些人员的姓名和授权范围通知监理人。</w:t>
      </w:r>
    </w:p>
    <w:p w14:paraId="35030D5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4.6承包人人员的管理</w:t>
      </w:r>
    </w:p>
    <w:p w14:paraId="3694D6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4.6.1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6D74B9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4.6.2为完成合同约定的各项工作，承包人应向施工场地派遣或雇佣足够数量的下列人员：</w:t>
      </w:r>
    </w:p>
    <w:p w14:paraId="0B4EBD2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（1）具有相应资格的专业技工和合格的普工；</w:t>
      </w:r>
    </w:p>
    <w:p w14:paraId="0D433A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（2）具有相应施工经验的技术人员；</w:t>
      </w:r>
    </w:p>
    <w:p w14:paraId="4F5F45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（3）具有相应岗位资格的各级管理人员。</w:t>
      </w:r>
    </w:p>
    <w:p w14:paraId="3CC527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4.6.3承包人安排在施工场地的主要管理人员和技术骨干应相对稳定。承包人更换主要管理人员和技术骨干时，应取得监理人的同意。</w:t>
      </w:r>
    </w:p>
    <w:p w14:paraId="43B337C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4.6.4特殊岗位的工作人员均应持有相应的资格证明，监理人有权随时检查。监理人认为有必要时，可进行现场考核。</w:t>
      </w:r>
    </w:p>
    <w:p w14:paraId="5D7363B7">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4.7撤换承包人项目经理和其他人员</w:t>
      </w:r>
    </w:p>
    <w:p w14:paraId="222ADF0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承包人应对其项目经理和其他人员进行有效管理。监理人要求撤换不能胜任本职工作、行为不端或玩忽职守的承包人项目经理和其他人员的，承包人应予以撤换。</w:t>
      </w:r>
    </w:p>
    <w:p w14:paraId="50F01A9E">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4.8保障承包人人员的合法权益</w:t>
      </w:r>
    </w:p>
    <w:p w14:paraId="23EB73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4.8.1承包人应与其雇佣的人员签订劳动合同，并按时发放工资。</w:t>
      </w:r>
    </w:p>
    <w:p w14:paraId="666D6A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4.8.2承包人应按劳动法的规定安排工作时间，保证其雇佣人员享有休息和休假的权利。因工程施工的特殊需要占用休假日或延长工作时间的，应不超过法律规定的限度，并按法律规定给予补休或付酬。</w:t>
      </w:r>
    </w:p>
    <w:p w14:paraId="30E358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4.8.3承包人应为其雇佣人员提供必要的食宿条件，以及符合环境保护和卫生要求的生活环境，在远离城镇的施工场地，还应配备必要的伤病防治和急救的医务人员与医疗设施。</w:t>
      </w:r>
    </w:p>
    <w:p w14:paraId="5F7518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4.8.4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2708A8C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4.8.5承包人应按有关法律规定和合同约定，为其雇佣人员办理保险。</w:t>
      </w:r>
    </w:p>
    <w:p w14:paraId="4C951DD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4.8.6承包人应负责处理其雇佣人员因工伤亡事故的善后事宜。</w:t>
      </w:r>
    </w:p>
    <w:p w14:paraId="344A84DF">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4.9工程价款应专款专用</w:t>
      </w:r>
    </w:p>
    <w:p w14:paraId="602092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发包人按合同约定支付给承包人的各项价款应专用于合同工程。</w:t>
      </w:r>
    </w:p>
    <w:p w14:paraId="23244F5E">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4.10承包人现场查勘</w:t>
      </w:r>
    </w:p>
    <w:p w14:paraId="0D2BCF1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4.10.1发包人应将其持有的现场地质勘探资料、水文气象资料提供给承包人，并对其准确胜负责。但承包人应对其阅读上述有关资料后所作出的解释和推断负责。</w:t>
      </w:r>
    </w:p>
    <w:p w14:paraId="28495C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4.10.2承包人应对施工场地和周围环境进行查勘，并收集有关地质、水文、气象条件、交通条件、风俗习惯以及其他为完成合同工作有关的当地资料。在全部合同工作中，应视为承包人己充分估计了应承担的责任和风险。</w:t>
      </w:r>
    </w:p>
    <w:p w14:paraId="3885444F">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4.11不利物质条件</w:t>
      </w:r>
    </w:p>
    <w:p w14:paraId="50329B4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4.11.1除专用合同条款另有约定外，不利物质条件是指在施工中遭遇不可预见的外界障碍或自然条件造成施工受阻。</w:t>
      </w:r>
    </w:p>
    <w:p w14:paraId="1D51EF7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4.11.2承包人遇到不利物质条件时，应采取适应不利物质条件的合理措施继续施工，并及时通知监理人。承包人有权根据第23.1款的约定，要求延长工期及增加费用。监理人收到此类要求后，应在分析上述外界障碍或自然条件是否不可预见及不可预见程度的基础上，按照通用合同条款第15条的约定办理。</w:t>
      </w:r>
    </w:p>
    <w:p w14:paraId="5675FD72">
      <w:pPr>
        <w:pStyle w:val="5"/>
        <w:rPr>
          <w:rFonts w:hint="eastAsia" w:ascii="宋体" w:hAnsi="宋体" w:eastAsia="宋体" w:cs="宋体"/>
          <w:color w:val="auto"/>
          <w:sz w:val="24"/>
          <w:szCs w:val="24"/>
          <w:highlight w:val="none"/>
        </w:rPr>
      </w:pPr>
      <w:bookmarkStart w:id="4" w:name="_Toc265408494"/>
      <w:r>
        <w:rPr>
          <w:rFonts w:hint="eastAsia" w:ascii="宋体" w:hAnsi="宋体" w:eastAsia="宋体" w:cs="宋体"/>
          <w:color w:val="auto"/>
          <w:sz w:val="24"/>
          <w:szCs w:val="24"/>
          <w:highlight w:val="none"/>
        </w:rPr>
        <w:t>5材料和工程设备</w:t>
      </w:r>
      <w:bookmarkEnd w:id="4"/>
    </w:p>
    <w:p w14:paraId="45154F73">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5.1承包人提供的材料和工程设备</w:t>
      </w:r>
    </w:p>
    <w:p w14:paraId="5FCFAE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5.1.1除第5.2款约定由发包人提供的材料和工程设备外，承包人负责采购、运输和保管本合同工作所需的材料和工程设备。承包人应对其采购的材料和工程设备负责。</w:t>
      </w:r>
    </w:p>
    <w:p w14:paraId="1DFC24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5.1.2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1C65EB8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12A66BB7">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5.2发包人提供的材料和工程设备</w:t>
      </w:r>
    </w:p>
    <w:p w14:paraId="64DF23D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5.2.1发包人提供的材料和工程设备，应在专用合同条款中写明材料和工程设备的名称、规格、数量、价格、交货方式、交货地点和计划交货日期等。</w:t>
      </w:r>
    </w:p>
    <w:p w14:paraId="7324C1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5.2.2承包人应根据合同进度计划的安排，向监理人报送要求发包人交货的日期计划。发包人应按照监理人与合同双方当事人商定的交货日期，向承包人提交材料和工程设备。</w:t>
      </w:r>
    </w:p>
    <w:p w14:paraId="33FE2C8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5.2.3发包人应在材料和工程设备到货７天前通知承包人，承包人应会同监理人在约定的时间内，赴交货地点共同进行验收。发包人提供的材料和工程设备运至交货地点验收后，由承包人负责接收、卸货、运输和保管。</w:t>
      </w:r>
    </w:p>
    <w:p w14:paraId="025DAF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5.2.4发包人要求向承包人提前交货的，承包人不得拒绝，但发包人应承担承包人由此增加的费用。</w:t>
      </w:r>
    </w:p>
    <w:p w14:paraId="40E5AD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5.2.5承包人要求更改交货日期或地点的，应事先报请监理人批准。由于承包人要求更改交货时间或地点所增加的费用和（或）工期延误由承包人承担。</w:t>
      </w:r>
    </w:p>
    <w:p w14:paraId="77B7DF6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5.2.6发包人提供的材料和工程设备的规格、数量或质量不符合合同要求，或由于发包人原因发生交货日期延误及交货地点变更等情况的，发包人应承担由此增加的费用和（或）工期延误，并向承包人支付合理利润。</w:t>
      </w:r>
    </w:p>
    <w:p w14:paraId="2786C6AC">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5.3材料和工程设备专用于合同工程</w:t>
      </w:r>
    </w:p>
    <w:p w14:paraId="2C2082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5.3.1运入施工场地的材料、工程设备，包括备品备件、安装专用工器具与随机资料，必须专用于合同工程，未经监理人同意，承包人不得运出施工场地或挪作他用。</w:t>
      </w:r>
    </w:p>
    <w:p w14:paraId="295ADF4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5.3.2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796E7FFD">
      <w:pPr>
        <w:jc w:val="left"/>
        <w:rPr>
          <w:rFonts w:hint="eastAsia" w:ascii="宋体" w:hAnsi="宋体" w:eastAsia="宋体" w:cs="宋体"/>
          <w:b w:val="0"/>
          <w:color w:val="auto"/>
          <w:sz w:val="24"/>
          <w:szCs w:val="24"/>
          <w:highlight w:val="none"/>
        </w:rPr>
      </w:pPr>
      <w:r>
        <w:rPr>
          <w:rFonts w:hint="eastAsia" w:ascii="宋体" w:hAnsi="宋体" w:eastAsia="宋体" w:cs="宋体"/>
          <w:color w:val="auto"/>
          <w:sz w:val="24"/>
          <w:szCs w:val="24"/>
          <w:highlight w:val="none"/>
        </w:rPr>
        <w:t>5.4禁止</w:t>
      </w:r>
      <w:r>
        <w:rPr>
          <w:rFonts w:hint="eastAsia" w:ascii="宋体" w:hAnsi="宋体" w:eastAsia="宋体" w:cs="宋体"/>
          <w:b w:val="0"/>
          <w:color w:val="auto"/>
          <w:sz w:val="24"/>
          <w:szCs w:val="24"/>
          <w:highlight w:val="none"/>
        </w:rPr>
        <w:t>使用不合格的材料和工程设备</w:t>
      </w:r>
    </w:p>
    <w:p w14:paraId="0ADF055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5.4.1监理人有权拒绝承包人提供的不合格材料或工程设备，并要求承包人立即进行更换。监理人应在更换后再次进行检查和检验，由此增加的费用和（或）工期延误由承包人承担。</w:t>
      </w:r>
    </w:p>
    <w:p w14:paraId="68756B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5.4.2监理人发现承包人使用了不合格的材料和工程设备，应即时发出指示要求承包人立即改正，并禁止在工程中继续使用不合格的材料和工程设备。</w:t>
      </w:r>
    </w:p>
    <w:p w14:paraId="2FFFD2F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5.4.3发包人提供的材料或工程设备不符合合同要求的，承包人有权拒绝，并可要求发包人更换，由此增加的费用和（或）工期延误由发包人承担。</w:t>
      </w:r>
    </w:p>
    <w:p w14:paraId="22EC0974">
      <w:pPr>
        <w:pStyle w:val="5"/>
        <w:rPr>
          <w:rFonts w:hint="eastAsia" w:ascii="宋体" w:hAnsi="宋体" w:eastAsia="宋体" w:cs="宋体"/>
          <w:color w:val="auto"/>
          <w:sz w:val="24"/>
          <w:szCs w:val="24"/>
          <w:highlight w:val="none"/>
        </w:rPr>
      </w:pPr>
      <w:bookmarkStart w:id="5" w:name="_Toc265408495"/>
      <w:r>
        <w:rPr>
          <w:rFonts w:hint="eastAsia" w:ascii="宋体" w:hAnsi="宋体" w:eastAsia="宋体" w:cs="宋体"/>
          <w:color w:val="auto"/>
          <w:sz w:val="24"/>
          <w:szCs w:val="24"/>
          <w:highlight w:val="none"/>
        </w:rPr>
        <w:t>6施工设备和临时设施</w:t>
      </w:r>
      <w:bookmarkEnd w:id="5"/>
    </w:p>
    <w:p w14:paraId="09063F03">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6.1承包人提供的施工设备和临时设施</w:t>
      </w:r>
    </w:p>
    <w:p w14:paraId="5C9F5A2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6.1.1承包人应按合同进度计划的要求，及时配置施工设备和修建临时设施。进入施工场地的承包人设备需经监理人核查后才能投入使用。承包人更换合同约定的承包人设备的，应报监理人批准。</w:t>
      </w:r>
    </w:p>
    <w:p w14:paraId="3E8917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6.1.2除专用合同条款另有约定外，承包人应自行承担修建临时设施的费用，需要临时占地的，应由发包人办理申请手续并承担相应费用。</w:t>
      </w:r>
    </w:p>
    <w:p w14:paraId="7B830E49">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6.2发包人提供的施工设备和临时设施</w:t>
      </w:r>
    </w:p>
    <w:p w14:paraId="2C6F37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发包人提供的施工设备或临时设施在专用合同条款中约定。</w:t>
      </w:r>
    </w:p>
    <w:p w14:paraId="4C5CF0D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6.3要求承包人增加或更换施工设备</w:t>
      </w:r>
    </w:p>
    <w:p w14:paraId="62F275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承包人使用的施工设备不能满足合同进度计划和（或）质量要求时，监理人有权要求承包人增加或更换施工设备，承包人应及时增加或更换，由此增加的费用和（或）工期延误由承包人承担。</w:t>
      </w:r>
    </w:p>
    <w:p w14:paraId="4A63A5B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6.4施工设备和临时设施专用于合同工程</w:t>
      </w:r>
    </w:p>
    <w:p w14:paraId="4151D9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6.4.1除合同另有约定外，运入施工场地的所有施工设备以及在施工场地建设的临时设施应专用于合同工程。未经监理人同意，不得将上述施工设备和临时设施中的任何部分运出施工场地或挪作他用。</w:t>
      </w:r>
    </w:p>
    <w:p w14:paraId="3772B4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6.4.2经监理人同意，承包人可根据合同进度计划撤走闲置的施工设备。</w:t>
      </w:r>
    </w:p>
    <w:p w14:paraId="5320AF8E">
      <w:pPr>
        <w:pStyle w:val="5"/>
        <w:rPr>
          <w:rFonts w:hint="eastAsia" w:ascii="宋体" w:hAnsi="宋体" w:eastAsia="宋体" w:cs="宋体"/>
          <w:color w:val="auto"/>
          <w:sz w:val="24"/>
          <w:szCs w:val="24"/>
          <w:highlight w:val="none"/>
        </w:rPr>
      </w:pPr>
      <w:bookmarkStart w:id="6" w:name="_Toc265408496"/>
      <w:r>
        <w:rPr>
          <w:rFonts w:hint="eastAsia" w:ascii="宋体" w:hAnsi="宋体" w:eastAsia="宋体" w:cs="宋体"/>
          <w:color w:val="auto"/>
          <w:sz w:val="24"/>
          <w:szCs w:val="24"/>
          <w:highlight w:val="none"/>
        </w:rPr>
        <w:t>7交通运输</w:t>
      </w:r>
      <w:bookmarkEnd w:id="6"/>
    </w:p>
    <w:p w14:paraId="42609B0E">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7.1道路通行权和场外设施</w:t>
      </w:r>
    </w:p>
    <w:p w14:paraId="38094389">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3109E77C">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7.2场内施工道路</w:t>
      </w:r>
    </w:p>
    <w:p w14:paraId="58E1BFF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7.2.1　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14:paraId="6BEDBE7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7.2.2承包人修建的临时道路和交通设施，应免费提供发包人、监理人以及与本合同有关的其他承包人使用。</w:t>
      </w:r>
    </w:p>
    <w:p w14:paraId="28E35E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7.3场外交通</w:t>
      </w:r>
    </w:p>
    <w:p w14:paraId="7CC4F38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7.3.1承包人车辆外出行驶所需的场外公共道路的通行费、养路费和税款等由承包人承担。</w:t>
      </w:r>
    </w:p>
    <w:p w14:paraId="3274590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7.3.2承包人应遵守有关交通法规，严格按照道路和桥梁的限制荷重安全行驶，并服从交通管理部门的检查和监督。</w:t>
      </w:r>
    </w:p>
    <w:p w14:paraId="28EEB29D">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7.4超大件和超重件的运输</w:t>
      </w:r>
    </w:p>
    <w:p w14:paraId="22CE28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68C2D12A">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7.5道路和桥梁的损坏责任</w:t>
      </w:r>
    </w:p>
    <w:p w14:paraId="2FE6C3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因承包人运输造成施工场地内外公共道路和桥梁损坏的，由承包人承担修复损坏的全部费用和可能引起的赔偿。</w:t>
      </w:r>
    </w:p>
    <w:p w14:paraId="41DAE36E">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7.6水路和航空运输</w:t>
      </w:r>
    </w:p>
    <w:p w14:paraId="1CAE5D5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本条上述各款的内容适用于水路运输和航空运输，其中“道路”一词的涵义包括河道、航线、船闸、机场、码头、堤防以及水路或航空运输中其他相似结构物；“车辆”一词的涵义包括船舶和飞机等。</w:t>
      </w:r>
    </w:p>
    <w:p w14:paraId="35720AF2">
      <w:pPr>
        <w:pStyle w:val="5"/>
        <w:rPr>
          <w:rFonts w:hint="eastAsia" w:ascii="宋体" w:hAnsi="宋体" w:eastAsia="宋体" w:cs="宋体"/>
          <w:color w:val="auto"/>
          <w:sz w:val="24"/>
          <w:szCs w:val="24"/>
          <w:highlight w:val="none"/>
        </w:rPr>
      </w:pPr>
      <w:bookmarkStart w:id="7" w:name="_Toc265408497"/>
      <w:r>
        <w:rPr>
          <w:rFonts w:hint="eastAsia" w:ascii="宋体" w:hAnsi="宋体" w:eastAsia="宋体" w:cs="宋体"/>
          <w:color w:val="auto"/>
          <w:sz w:val="24"/>
          <w:szCs w:val="24"/>
          <w:highlight w:val="none"/>
        </w:rPr>
        <w:t>8测量放线</w:t>
      </w:r>
      <w:bookmarkEnd w:id="7"/>
    </w:p>
    <w:p w14:paraId="0DECA8F5">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8.1施工控制网</w:t>
      </w:r>
    </w:p>
    <w:p w14:paraId="06C12E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8.1.1除专用合同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3AF672B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8.1.2承包人应负责管理施工控制网点。施工控制网点丢失或损坏的，承包人应及时修复。承包人应承担施工控制网点的管理与修复费用，并在工程竣工后将施工控制网点移交发包人。</w:t>
      </w:r>
    </w:p>
    <w:p w14:paraId="27F68885">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8.2施工测量</w:t>
      </w:r>
    </w:p>
    <w:p w14:paraId="53CEFC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8.2.1承包人应负责施工过程中的全部施工测量放线工作，并配置合格的人员、仪器、设备和其他物品。</w:t>
      </w:r>
    </w:p>
    <w:p w14:paraId="001BAD3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8.2.2监理人可以指示承包人进行抽样复测，当复测中发现错误或出现超过合同约定的误差时，承包人应按监理人指示进行修正或补测，并承担相应的复测费用。</w:t>
      </w:r>
    </w:p>
    <w:p w14:paraId="3B029806">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8.3基准资料错误的责任</w:t>
      </w:r>
    </w:p>
    <w:p w14:paraId="6825FDB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683E0DEF">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8.4监理人使用施工控制网</w:t>
      </w:r>
    </w:p>
    <w:p w14:paraId="5006A3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监理人需要使用施工控制网的，承包人应提供必要的协助，发包人不再为此支付费用。</w:t>
      </w:r>
    </w:p>
    <w:p w14:paraId="50E550E1">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8.5补充地质勘探</w:t>
      </w:r>
    </w:p>
    <w:p w14:paraId="7AEF27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实施期间，监理人可以指示承包人进行必要的补充地质勘探并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14:paraId="3390699D">
      <w:pPr>
        <w:pStyle w:val="5"/>
        <w:rPr>
          <w:rFonts w:hint="eastAsia" w:ascii="宋体" w:hAnsi="宋体" w:eastAsia="宋体" w:cs="宋体"/>
          <w:color w:val="auto"/>
          <w:sz w:val="24"/>
          <w:szCs w:val="24"/>
          <w:highlight w:val="none"/>
        </w:rPr>
      </w:pPr>
      <w:bookmarkStart w:id="8" w:name="_Toc265408498"/>
      <w:r>
        <w:rPr>
          <w:rFonts w:hint="eastAsia" w:ascii="宋体" w:hAnsi="宋体" w:eastAsia="宋体" w:cs="宋体"/>
          <w:color w:val="auto"/>
          <w:sz w:val="24"/>
          <w:szCs w:val="24"/>
          <w:highlight w:val="none"/>
        </w:rPr>
        <w:t>9施工安全、治安保卫和环境保护</w:t>
      </w:r>
      <w:bookmarkEnd w:id="8"/>
    </w:p>
    <w:p w14:paraId="67E9A83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9.1发包人的施工安全责任</w:t>
      </w:r>
    </w:p>
    <w:p w14:paraId="32FB2F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9.1.1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04978FA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9.1.2发包人应对其现场机构雇佣的全部人员的工伤事故承担责任，但由于承包人原因造成发包人人员工伤的，应由承包人承担责任。</w:t>
      </w:r>
    </w:p>
    <w:p w14:paraId="22D01F3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9.1.3发包人应负责赔偿以下各种情况造成的第三者人身伤亡和财产损失：</w:t>
      </w:r>
    </w:p>
    <w:p w14:paraId="3EC390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（l）工程或工程的任何部分对土地的占用所造成的第三者财产损失；</w:t>
      </w:r>
    </w:p>
    <w:p w14:paraId="1EE9B5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（2）由于发包人原因在施工场地及其毗邻地带造成的第三者人身伤亡和财产损失。</w:t>
      </w:r>
    </w:p>
    <w:p w14:paraId="5BBCA2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9.1.4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14:paraId="2FB0B6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9.1.5发包人按照已标价工程量清单所列金额和合同约定的计量支付规定，支付安全作业环境及安全施工措施所需费用。</w:t>
      </w:r>
    </w:p>
    <w:p w14:paraId="1EFD11C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9.1.6发包人负责组织工程参建单位编制保证安全生产的措施方案。工程开工前，就落实保证安全生产的措施进行全面系统的布置，进一步明确承包人的安全生产责任。</w:t>
      </w:r>
    </w:p>
    <w:p w14:paraId="0B83760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9.1.7发包人负责在拆除工程和爆破工程施工14天前向有关部门或机构报送相关备案资料。</w:t>
      </w:r>
    </w:p>
    <w:p w14:paraId="11ED1E48">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9.2承包人的施工安全责任</w:t>
      </w:r>
    </w:p>
    <w:p w14:paraId="61136B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9.2.1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05EBA3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9.2.2承包人应加强施工作业安全管理，特别应加强易燃、易爆材料、火工器材、有毒与腐蚀性材料和其他危险品的管理，以及对爆破作业和地下工程施工等危险作业的管理。</w:t>
      </w:r>
    </w:p>
    <w:p w14:paraId="0DFFA67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9.2.3承包人应严格按照国家安全标准制定施工安全操作规程，配备必要的安全生产和劳动保护设施，加强对承包人人员的安全教育，并发放安全工作手册和劳动保护用具。</w:t>
      </w:r>
    </w:p>
    <w:p w14:paraId="7C7A33B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9.2.4承包人应按监理人的指示制定应对灾害的紧急预案，报送监理人审批。承包人还应按预案做好安全检查，配置必要的救助物资和器材，切实保护好有关人员的人身和财产安全。</w:t>
      </w:r>
    </w:p>
    <w:p w14:paraId="45BD8E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9.2.5合同约定的安全作业环境及安全施工措施所需费用应遵守有关规定，并包括在相关工作的合同价格中。因采取合同未约定的安全作业环境及安全施工措施增加的费用，由监理人按第3.5款商定或确定。</w:t>
      </w:r>
    </w:p>
    <w:p w14:paraId="4568EB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9.2.6承包人应对其履行合同所雇佣的全部人员，包括分包人人员的工伤事故承担责任，但由于发包人原因造成承包人人员工伤事故的，应由发包人承担责任。</w:t>
      </w:r>
    </w:p>
    <w:p w14:paraId="5F4327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9.2.7由于承包人原因在施工场地内及其毗邻地带造成的第三者人员伤亡和财产损失，由承包人负责赔偿。</w:t>
      </w:r>
    </w:p>
    <w:p w14:paraId="59BCB5A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9.2.8承包人已标价工程量清单应包含工程安全作业环境及安全施工措施所需费用。</w:t>
      </w:r>
    </w:p>
    <w:p w14:paraId="4616C5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477AB7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9.2.10承包人应设立安全生产管理机构，施工现场应有专职安全生产管理人员。</w:t>
      </w:r>
    </w:p>
    <w:p w14:paraId="5A00123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9.2.11承包人应负责对特种作业人员进行专门的安全作业培训，并保证特种作业人员持证上岗。</w:t>
      </w:r>
    </w:p>
    <w:p w14:paraId="377C837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9.2.12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7E1BE49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9.2.13承包人在使用施工起重机械和整体提升脚手架、模板等自升式架设设施前，应组织有关单位进行验收。</w:t>
      </w:r>
    </w:p>
    <w:p w14:paraId="0593DF5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9.3治安保卫</w:t>
      </w:r>
    </w:p>
    <w:p w14:paraId="7C9ADF5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9.3.1除合同另有约定外，发包人应与当地公安部门协商，在现场建立治安管理机构或联防组织，统一管理施工场地的治安保卫事项，履行合同工程的治安保卫职责。</w:t>
      </w:r>
    </w:p>
    <w:p w14:paraId="114C27A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9.3.2发包人和承包人除应协助现场治安管理机构或联防组织维护施工场地的社会治安外，还应做好包括生活区在内的各自管辖区的治安保卫工作。</w:t>
      </w:r>
    </w:p>
    <w:p w14:paraId="5B0A48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9.3.3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489AFDB5">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9.4环境保护</w:t>
      </w:r>
    </w:p>
    <w:p w14:paraId="3CF58E2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9.4.1承包人在施工过程中，应遵守有关环境保护的法律，履行合同约定的环境保护义务，并对违反法律和合同约定义务所造成的环境破坏、人身伤害和财产损失负责。</w:t>
      </w:r>
    </w:p>
    <w:p w14:paraId="7B64E14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9.4.2承包人应按合同约定的环保工作内容，编制施工环保措施计划，报送监理人审批。</w:t>
      </w:r>
    </w:p>
    <w:p w14:paraId="221E36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9.4.3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7FD076E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9.4.4承包人应按合同约定采取有效措施，对施工开挖的边坡及时进行支护，维护排水设施，并进行水土保护，避免因施工造成的地质灾害。</w:t>
      </w:r>
    </w:p>
    <w:p w14:paraId="4AB70A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9.4.5承包人应按国家饮用水管理标准定期对饮用水源进行监测，防止施工活动污染饮用水源。</w:t>
      </w:r>
    </w:p>
    <w:p w14:paraId="6F4B5D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9.4.6承包人应按合同约定，加强对噪声、粉尘、废气、废水和废油的控制，努力降低噪声，控制粉尘和废气浓度，做好废水和废油的治理和排放。</w:t>
      </w:r>
    </w:p>
    <w:p w14:paraId="717F9578">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9.5事故处理</w:t>
      </w:r>
    </w:p>
    <w:p w14:paraId="6AAEF08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9.5.1发包人负责组织参建单位制定本工程的质量与安全事故应急预案，建立质量与安全事故应急处置指挥部。</w:t>
      </w:r>
    </w:p>
    <w:p w14:paraId="443597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9.5.2承包人应对施工现场易发生重大事故的部位、环节进行监控，配备救援器材、设备，并定期组织演练。</w:t>
      </w:r>
    </w:p>
    <w:p w14:paraId="638739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9.5.3工程开工前，承包人应根据本工程的特点制定施工现场施工质量与安全事故应急预案，并报发包人备案。</w:t>
      </w:r>
    </w:p>
    <w:p w14:paraId="6D1910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9.5.4施工过程中发生事故时，发包人、承包人应立即启动应急预案。</w:t>
      </w:r>
    </w:p>
    <w:p w14:paraId="6BA9FA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9.5.5事故调查处理由发包人按相关规定履行手续，承包人应配合。</w:t>
      </w:r>
    </w:p>
    <w:p w14:paraId="1775F4C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9.6水土保持</w:t>
      </w:r>
    </w:p>
    <w:p w14:paraId="65B4EF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9.6.1发包人应及时向承包人提供水土保持方案。</w:t>
      </w:r>
    </w:p>
    <w:p w14:paraId="45CCD42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9.6.2承包人在施工过程中，应遵守有关水土保持的法律法规和规章，履行合同约定的水土保持义务，并对其违反法律和合同约定义务所造成的水土流失灾害、人身伤害和财产损失负责。</w:t>
      </w:r>
    </w:p>
    <w:p w14:paraId="464D8E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9.6.3承包人的水土保持措施计划，应满足技术标准和要求（合同技术条款）约定的要求。</w:t>
      </w:r>
    </w:p>
    <w:p w14:paraId="0152A851">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9.7文明工地</w:t>
      </w:r>
    </w:p>
    <w:p w14:paraId="4FEB66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9.7.1发包人应按专用合同条款的约定，负责建立创建文明建设工地的组织机构，制定创建文明建设工地的规划和办法。</w:t>
      </w:r>
    </w:p>
    <w:p w14:paraId="19503D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9.7.2承包人应按创建文明建设工地的规划和办法，履行职责，承担相应责任。所需费用应含在已标价工程量清单中。</w:t>
      </w:r>
    </w:p>
    <w:p w14:paraId="00B27862">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9.8防汛度汛</w:t>
      </w:r>
    </w:p>
    <w:p w14:paraId="5FF60B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9.8.1发包人负责组织工程参建单位编制本工程的度汛方案和措施。</w:t>
      </w:r>
    </w:p>
    <w:p w14:paraId="651AB7EB">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9.8.2承包人应根据发包人编制的本工程度汛方案和措施，制定相应的度汛方案，报发包人批准后实施。</w:t>
      </w:r>
    </w:p>
    <w:p w14:paraId="630DD3E0">
      <w:pPr>
        <w:pStyle w:val="5"/>
        <w:rPr>
          <w:rFonts w:hint="eastAsia" w:ascii="宋体" w:hAnsi="宋体" w:eastAsia="宋体" w:cs="宋体"/>
          <w:color w:val="auto"/>
          <w:sz w:val="24"/>
          <w:szCs w:val="24"/>
          <w:highlight w:val="none"/>
        </w:rPr>
      </w:pPr>
      <w:bookmarkStart w:id="9" w:name="_Toc265408499"/>
      <w:r>
        <w:rPr>
          <w:rFonts w:hint="eastAsia" w:ascii="宋体" w:hAnsi="宋体" w:eastAsia="宋体" w:cs="宋体"/>
          <w:color w:val="auto"/>
          <w:sz w:val="24"/>
          <w:szCs w:val="24"/>
          <w:highlight w:val="none"/>
        </w:rPr>
        <w:t>10进度计划</w:t>
      </w:r>
      <w:bookmarkEnd w:id="9"/>
    </w:p>
    <w:p w14:paraId="4802A9ED">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10.1合同进度计划</w:t>
      </w:r>
    </w:p>
    <w:p w14:paraId="0D8871D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751D337A">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10.2合同进度计划的修订</w:t>
      </w:r>
    </w:p>
    <w:p w14:paraId="67E722D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54F78F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p>
    <w:p w14:paraId="4310AE34">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　单位工程进度计划</w:t>
      </w:r>
    </w:p>
    <w:p w14:paraId="5F3FF4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监理人认为有必要时，承包人应按监理人指示的内容和期限，并根据合同进度计划的进度控制要求，编制单位工程进度计划，提交监理人审批。</w:t>
      </w:r>
    </w:p>
    <w:p w14:paraId="29A61A8B">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　提交资金流估算表</w:t>
      </w:r>
    </w:p>
    <w:p w14:paraId="7E6D636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14:paraId="27B6F48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资金流估算表（参考表格）金额单位</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561"/>
        <w:gridCol w:w="1239"/>
        <w:gridCol w:w="1497"/>
        <w:gridCol w:w="1260"/>
        <w:gridCol w:w="821"/>
        <w:gridCol w:w="1180"/>
        <w:gridCol w:w="642"/>
        <w:gridCol w:w="796"/>
        <w:gridCol w:w="1080"/>
      </w:tblGrid>
      <w:tr w14:paraId="56A90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dxa"/>
            <w:noWrap w:val="0"/>
            <w:vAlign w:val="center"/>
          </w:tcPr>
          <w:p w14:paraId="4332F7F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w:t>
            </w:r>
          </w:p>
        </w:tc>
        <w:tc>
          <w:tcPr>
            <w:tcW w:w="561" w:type="dxa"/>
            <w:noWrap w:val="0"/>
            <w:vAlign w:val="center"/>
          </w:tcPr>
          <w:p w14:paraId="6DA0653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月</w:t>
            </w:r>
          </w:p>
        </w:tc>
        <w:tc>
          <w:tcPr>
            <w:tcW w:w="1239" w:type="dxa"/>
            <w:noWrap w:val="0"/>
            <w:vAlign w:val="center"/>
          </w:tcPr>
          <w:p w14:paraId="3A7A860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工程预付款</w:t>
            </w:r>
          </w:p>
        </w:tc>
        <w:tc>
          <w:tcPr>
            <w:tcW w:w="1497" w:type="dxa"/>
            <w:noWrap w:val="0"/>
            <w:vAlign w:val="center"/>
          </w:tcPr>
          <w:p w14:paraId="248C9A2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完成工作量付款</w:t>
            </w:r>
          </w:p>
        </w:tc>
        <w:tc>
          <w:tcPr>
            <w:tcW w:w="1260" w:type="dxa"/>
            <w:noWrap w:val="0"/>
            <w:vAlign w:val="center"/>
          </w:tcPr>
          <w:p w14:paraId="1DB738C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质量保证金扣留</w:t>
            </w:r>
          </w:p>
        </w:tc>
        <w:tc>
          <w:tcPr>
            <w:tcW w:w="821" w:type="dxa"/>
            <w:noWrap w:val="0"/>
            <w:vAlign w:val="center"/>
          </w:tcPr>
          <w:p w14:paraId="2A09FA7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材料款扣除</w:t>
            </w:r>
          </w:p>
        </w:tc>
        <w:tc>
          <w:tcPr>
            <w:tcW w:w="1180" w:type="dxa"/>
            <w:noWrap w:val="0"/>
            <w:vAlign w:val="center"/>
          </w:tcPr>
          <w:p w14:paraId="54AF9CC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预付款扣还</w:t>
            </w:r>
          </w:p>
        </w:tc>
        <w:tc>
          <w:tcPr>
            <w:tcW w:w="642" w:type="dxa"/>
            <w:noWrap w:val="0"/>
            <w:vAlign w:val="center"/>
          </w:tcPr>
          <w:p w14:paraId="4A48443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w:t>
            </w:r>
          </w:p>
        </w:tc>
        <w:tc>
          <w:tcPr>
            <w:tcW w:w="796" w:type="dxa"/>
            <w:noWrap w:val="0"/>
            <w:vAlign w:val="center"/>
          </w:tcPr>
          <w:p w14:paraId="236F793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应收款</w:t>
            </w:r>
          </w:p>
        </w:tc>
        <w:tc>
          <w:tcPr>
            <w:tcW w:w="1080" w:type="dxa"/>
            <w:noWrap w:val="0"/>
            <w:vAlign w:val="center"/>
          </w:tcPr>
          <w:p w14:paraId="3E42034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累计应收款</w:t>
            </w:r>
          </w:p>
        </w:tc>
      </w:tr>
      <w:tr w14:paraId="631E3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dxa"/>
            <w:noWrap w:val="0"/>
            <w:vAlign w:val="center"/>
          </w:tcPr>
          <w:p w14:paraId="1C774C39">
            <w:pPr>
              <w:spacing w:line="360" w:lineRule="auto"/>
              <w:rPr>
                <w:rFonts w:hint="eastAsia" w:ascii="宋体" w:hAnsi="宋体" w:eastAsia="宋体" w:cs="宋体"/>
                <w:color w:val="auto"/>
                <w:sz w:val="24"/>
                <w:szCs w:val="24"/>
                <w:highlight w:val="none"/>
              </w:rPr>
            </w:pPr>
          </w:p>
        </w:tc>
        <w:tc>
          <w:tcPr>
            <w:tcW w:w="561" w:type="dxa"/>
            <w:noWrap w:val="0"/>
            <w:vAlign w:val="center"/>
          </w:tcPr>
          <w:p w14:paraId="4BB0C1B3">
            <w:pPr>
              <w:spacing w:line="360" w:lineRule="auto"/>
              <w:rPr>
                <w:rFonts w:hint="eastAsia" w:ascii="宋体" w:hAnsi="宋体" w:eastAsia="宋体" w:cs="宋体"/>
                <w:color w:val="auto"/>
                <w:sz w:val="24"/>
                <w:szCs w:val="24"/>
                <w:highlight w:val="none"/>
              </w:rPr>
            </w:pPr>
          </w:p>
        </w:tc>
        <w:tc>
          <w:tcPr>
            <w:tcW w:w="1239" w:type="dxa"/>
            <w:noWrap w:val="0"/>
            <w:vAlign w:val="center"/>
          </w:tcPr>
          <w:p w14:paraId="664C8A27">
            <w:pPr>
              <w:spacing w:line="360" w:lineRule="auto"/>
              <w:rPr>
                <w:rFonts w:hint="eastAsia" w:ascii="宋体" w:hAnsi="宋体" w:eastAsia="宋体" w:cs="宋体"/>
                <w:color w:val="auto"/>
                <w:sz w:val="24"/>
                <w:szCs w:val="24"/>
                <w:highlight w:val="none"/>
              </w:rPr>
            </w:pPr>
          </w:p>
        </w:tc>
        <w:tc>
          <w:tcPr>
            <w:tcW w:w="1497" w:type="dxa"/>
            <w:noWrap w:val="0"/>
            <w:vAlign w:val="center"/>
          </w:tcPr>
          <w:p w14:paraId="7B0C6BD9">
            <w:pPr>
              <w:spacing w:line="360" w:lineRule="auto"/>
              <w:rPr>
                <w:rFonts w:hint="eastAsia" w:ascii="宋体" w:hAnsi="宋体" w:eastAsia="宋体" w:cs="宋体"/>
                <w:color w:val="auto"/>
                <w:sz w:val="24"/>
                <w:szCs w:val="24"/>
                <w:highlight w:val="none"/>
              </w:rPr>
            </w:pPr>
          </w:p>
        </w:tc>
        <w:tc>
          <w:tcPr>
            <w:tcW w:w="1260" w:type="dxa"/>
            <w:noWrap w:val="0"/>
            <w:vAlign w:val="center"/>
          </w:tcPr>
          <w:p w14:paraId="54F64AB5">
            <w:pPr>
              <w:spacing w:line="360" w:lineRule="auto"/>
              <w:rPr>
                <w:rFonts w:hint="eastAsia" w:ascii="宋体" w:hAnsi="宋体" w:eastAsia="宋体" w:cs="宋体"/>
                <w:color w:val="auto"/>
                <w:sz w:val="24"/>
                <w:szCs w:val="24"/>
                <w:highlight w:val="none"/>
              </w:rPr>
            </w:pPr>
          </w:p>
        </w:tc>
        <w:tc>
          <w:tcPr>
            <w:tcW w:w="821" w:type="dxa"/>
            <w:noWrap w:val="0"/>
            <w:vAlign w:val="center"/>
          </w:tcPr>
          <w:p w14:paraId="6D3664D5">
            <w:pPr>
              <w:spacing w:line="360" w:lineRule="auto"/>
              <w:rPr>
                <w:rFonts w:hint="eastAsia" w:ascii="宋体" w:hAnsi="宋体" w:eastAsia="宋体" w:cs="宋体"/>
                <w:color w:val="auto"/>
                <w:sz w:val="24"/>
                <w:szCs w:val="24"/>
                <w:highlight w:val="none"/>
              </w:rPr>
            </w:pPr>
          </w:p>
        </w:tc>
        <w:tc>
          <w:tcPr>
            <w:tcW w:w="1180" w:type="dxa"/>
            <w:noWrap w:val="0"/>
            <w:vAlign w:val="center"/>
          </w:tcPr>
          <w:p w14:paraId="1ED0D100">
            <w:pPr>
              <w:spacing w:line="360" w:lineRule="auto"/>
              <w:rPr>
                <w:rFonts w:hint="eastAsia" w:ascii="宋体" w:hAnsi="宋体" w:eastAsia="宋体" w:cs="宋体"/>
                <w:color w:val="auto"/>
                <w:sz w:val="24"/>
                <w:szCs w:val="24"/>
                <w:highlight w:val="none"/>
              </w:rPr>
            </w:pPr>
          </w:p>
        </w:tc>
        <w:tc>
          <w:tcPr>
            <w:tcW w:w="642" w:type="dxa"/>
            <w:noWrap w:val="0"/>
            <w:vAlign w:val="center"/>
          </w:tcPr>
          <w:p w14:paraId="60F60083">
            <w:pPr>
              <w:spacing w:line="360" w:lineRule="auto"/>
              <w:rPr>
                <w:rFonts w:hint="eastAsia" w:ascii="宋体" w:hAnsi="宋体" w:eastAsia="宋体" w:cs="宋体"/>
                <w:color w:val="auto"/>
                <w:sz w:val="24"/>
                <w:szCs w:val="24"/>
                <w:highlight w:val="none"/>
              </w:rPr>
            </w:pPr>
          </w:p>
        </w:tc>
        <w:tc>
          <w:tcPr>
            <w:tcW w:w="796" w:type="dxa"/>
            <w:noWrap w:val="0"/>
            <w:vAlign w:val="center"/>
          </w:tcPr>
          <w:p w14:paraId="03C0DC11">
            <w:pPr>
              <w:spacing w:line="360" w:lineRule="auto"/>
              <w:rPr>
                <w:rFonts w:hint="eastAsia" w:ascii="宋体" w:hAnsi="宋体" w:eastAsia="宋体" w:cs="宋体"/>
                <w:color w:val="auto"/>
                <w:sz w:val="24"/>
                <w:szCs w:val="24"/>
                <w:highlight w:val="none"/>
              </w:rPr>
            </w:pPr>
          </w:p>
        </w:tc>
        <w:tc>
          <w:tcPr>
            <w:tcW w:w="1080" w:type="dxa"/>
            <w:noWrap w:val="0"/>
            <w:vAlign w:val="center"/>
          </w:tcPr>
          <w:p w14:paraId="087812D9">
            <w:pPr>
              <w:spacing w:line="360" w:lineRule="auto"/>
              <w:rPr>
                <w:rFonts w:hint="eastAsia" w:ascii="宋体" w:hAnsi="宋体" w:eastAsia="宋体" w:cs="宋体"/>
                <w:color w:val="auto"/>
                <w:sz w:val="24"/>
                <w:szCs w:val="24"/>
                <w:highlight w:val="none"/>
              </w:rPr>
            </w:pPr>
          </w:p>
        </w:tc>
      </w:tr>
      <w:tr w14:paraId="511DF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dxa"/>
            <w:noWrap w:val="0"/>
            <w:vAlign w:val="center"/>
          </w:tcPr>
          <w:p w14:paraId="358C5B3A">
            <w:pPr>
              <w:spacing w:line="360" w:lineRule="auto"/>
              <w:rPr>
                <w:rFonts w:hint="eastAsia" w:ascii="宋体" w:hAnsi="宋体" w:eastAsia="宋体" w:cs="宋体"/>
                <w:color w:val="auto"/>
                <w:sz w:val="24"/>
                <w:szCs w:val="24"/>
                <w:highlight w:val="none"/>
              </w:rPr>
            </w:pPr>
          </w:p>
        </w:tc>
        <w:tc>
          <w:tcPr>
            <w:tcW w:w="561" w:type="dxa"/>
            <w:noWrap w:val="0"/>
            <w:vAlign w:val="center"/>
          </w:tcPr>
          <w:p w14:paraId="4A9F2756">
            <w:pPr>
              <w:spacing w:line="360" w:lineRule="auto"/>
              <w:rPr>
                <w:rFonts w:hint="eastAsia" w:ascii="宋体" w:hAnsi="宋体" w:eastAsia="宋体" w:cs="宋体"/>
                <w:color w:val="auto"/>
                <w:sz w:val="24"/>
                <w:szCs w:val="24"/>
                <w:highlight w:val="none"/>
              </w:rPr>
            </w:pPr>
          </w:p>
        </w:tc>
        <w:tc>
          <w:tcPr>
            <w:tcW w:w="1239" w:type="dxa"/>
            <w:noWrap w:val="0"/>
            <w:vAlign w:val="center"/>
          </w:tcPr>
          <w:p w14:paraId="3895D929">
            <w:pPr>
              <w:spacing w:line="360" w:lineRule="auto"/>
              <w:rPr>
                <w:rFonts w:hint="eastAsia" w:ascii="宋体" w:hAnsi="宋体" w:eastAsia="宋体" w:cs="宋体"/>
                <w:color w:val="auto"/>
                <w:sz w:val="24"/>
                <w:szCs w:val="24"/>
                <w:highlight w:val="none"/>
              </w:rPr>
            </w:pPr>
          </w:p>
        </w:tc>
        <w:tc>
          <w:tcPr>
            <w:tcW w:w="1497" w:type="dxa"/>
            <w:noWrap w:val="0"/>
            <w:vAlign w:val="center"/>
          </w:tcPr>
          <w:p w14:paraId="6474C0EA">
            <w:pPr>
              <w:spacing w:line="360" w:lineRule="auto"/>
              <w:rPr>
                <w:rFonts w:hint="eastAsia" w:ascii="宋体" w:hAnsi="宋体" w:eastAsia="宋体" w:cs="宋体"/>
                <w:color w:val="auto"/>
                <w:sz w:val="24"/>
                <w:szCs w:val="24"/>
                <w:highlight w:val="none"/>
              </w:rPr>
            </w:pPr>
          </w:p>
        </w:tc>
        <w:tc>
          <w:tcPr>
            <w:tcW w:w="1260" w:type="dxa"/>
            <w:noWrap w:val="0"/>
            <w:vAlign w:val="center"/>
          </w:tcPr>
          <w:p w14:paraId="2FC53283">
            <w:pPr>
              <w:spacing w:line="360" w:lineRule="auto"/>
              <w:rPr>
                <w:rFonts w:hint="eastAsia" w:ascii="宋体" w:hAnsi="宋体" w:eastAsia="宋体" w:cs="宋体"/>
                <w:color w:val="auto"/>
                <w:sz w:val="24"/>
                <w:szCs w:val="24"/>
                <w:highlight w:val="none"/>
              </w:rPr>
            </w:pPr>
          </w:p>
        </w:tc>
        <w:tc>
          <w:tcPr>
            <w:tcW w:w="821" w:type="dxa"/>
            <w:noWrap w:val="0"/>
            <w:vAlign w:val="center"/>
          </w:tcPr>
          <w:p w14:paraId="27D66AA7">
            <w:pPr>
              <w:spacing w:line="360" w:lineRule="auto"/>
              <w:rPr>
                <w:rFonts w:hint="eastAsia" w:ascii="宋体" w:hAnsi="宋体" w:eastAsia="宋体" w:cs="宋体"/>
                <w:color w:val="auto"/>
                <w:sz w:val="24"/>
                <w:szCs w:val="24"/>
                <w:highlight w:val="none"/>
              </w:rPr>
            </w:pPr>
          </w:p>
        </w:tc>
        <w:tc>
          <w:tcPr>
            <w:tcW w:w="1180" w:type="dxa"/>
            <w:noWrap w:val="0"/>
            <w:vAlign w:val="center"/>
          </w:tcPr>
          <w:p w14:paraId="031ECCCA">
            <w:pPr>
              <w:spacing w:line="360" w:lineRule="auto"/>
              <w:rPr>
                <w:rFonts w:hint="eastAsia" w:ascii="宋体" w:hAnsi="宋体" w:eastAsia="宋体" w:cs="宋体"/>
                <w:color w:val="auto"/>
                <w:sz w:val="24"/>
                <w:szCs w:val="24"/>
                <w:highlight w:val="none"/>
              </w:rPr>
            </w:pPr>
          </w:p>
        </w:tc>
        <w:tc>
          <w:tcPr>
            <w:tcW w:w="642" w:type="dxa"/>
            <w:noWrap w:val="0"/>
            <w:vAlign w:val="center"/>
          </w:tcPr>
          <w:p w14:paraId="38BBFC5A">
            <w:pPr>
              <w:spacing w:line="360" w:lineRule="auto"/>
              <w:rPr>
                <w:rFonts w:hint="eastAsia" w:ascii="宋体" w:hAnsi="宋体" w:eastAsia="宋体" w:cs="宋体"/>
                <w:color w:val="auto"/>
                <w:sz w:val="24"/>
                <w:szCs w:val="24"/>
                <w:highlight w:val="none"/>
              </w:rPr>
            </w:pPr>
          </w:p>
        </w:tc>
        <w:tc>
          <w:tcPr>
            <w:tcW w:w="796" w:type="dxa"/>
            <w:noWrap w:val="0"/>
            <w:vAlign w:val="center"/>
          </w:tcPr>
          <w:p w14:paraId="76DC53E2">
            <w:pPr>
              <w:spacing w:line="360" w:lineRule="auto"/>
              <w:rPr>
                <w:rFonts w:hint="eastAsia" w:ascii="宋体" w:hAnsi="宋体" w:eastAsia="宋体" w:cs="宋体"/>
                <w:color w:val="auto"/>
                <w:sz w:val="24"/>
                <w:szCs w:val="24"/>
                <w:highlight w:val="none"/>
              </w:rPr>
            </w:pPr>
          </w:p>
        </w:tc>
        <w:tc>
          <w:tcPr>
            <w:tcW w:w="1080" w:type="dxa"/>
            <w:noWrap w:val="0"/>
            <w:vAlign w:val="center"/>
          </w:tcPr>
          <w:p w14:paraId="1FE2DBD7">
            <w:pPr>
              <w:spacing w:line="360" w:lineRule="auto"/>
              <w:rPr>
                <w:rFonts w:hint="eastAsia" w:ascii="宋体" w:hAnsi="宋体" w:eastAsia="宋体" w:cs="宋体"/>
                <w:color w:val="auto"/>
                <w:sz w:val="24"/>
                <w:szCs w:val="24"/>
                <w:highlight w:val="none"/>
              </w:rPr>
            </w:pPr>
          </w:p>
        </w:tc>
      </w:tr>
      <w:tr w14:paraId="0FA3F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dxa"/>
            <w:noWrap w:val="0"/>
            <w:vAlign w:val="center"/>
          </w:tcPr>
          <w:p w14:paraId="4AC7C60D">
            <w:pPr>
              <w:spacing w:line="360" w:lineRule="auto"/>
              <w:rPr>
                <w:rFonts w:hint="eastAsia" w:ascii="宋体" w:hAnsi="宋体" w:eastAsia="宋体" w:cs="宋体"/>
                <w:color w:val="auto"/>
                <w:sz w:val="24"/>
                <w:szCs w:val="24"/>
                <w:highlight w:val="none"/>
              </w:rPr>
            </w:pPr>
          </w:p>
        </w:tc>
        <w:tc>
          <w:tcPr>
            <w:tcW w:w="561" w:type="dxa"/>
            <w:noWrap w:val="0"/>
            <w:vAlign w:val="center"/>
          </w:tcPr>
          <w:p w14:paraId="251867FB">
            <w:pPr>
              <w:spacing w:line="360" w:lineRule="auto"/>
              <w:rPr>
                <w:rFonts w:hint="eastAsia" w:ascii="宋体" w:hAnsi="宋体" w:eastAsia="宋体" w:cs="宋体"/>
                <w:color w:val="auto"/>
                <w:sz w:val="24"/>
                <w:szCs w:val="24"/>
                <w:highlight w:val="none"/>
              </w:rPr>
            </w:pPr>
          </w:p>
        </w:tc>
        <w:tc>
          <w:tcPr>
            <w:tcW w:w="1239" w:type="dxa"/>
            <w:noWrap w:val="0"/>
            <w:vAlign w:val="center"/>
          </w:tcPr>
          <w:p w14:paraId="7F061C7C">
            <w:pPr>
              <w:spacing w:line="360" w:lineRule="auto"/>
              <w:rPr>
                <w:rFonts w:hint="eastAsia" w:ascii="宋体" w:hAnsi="宋体" w:eastAsia="宋体" w:cs="宋体"/>
                <w:color w:val="auto"/>
                <w:sz w:val="24"/>
                <w:szCs w:val="24"/>
                <w:highlight w:val="none"/>
              </w:rPr>
            </w:pPr>
          </w:p>
        </w:tc>
        <w:tc>
          <w:tcPr>
            <w:tcW w:w="1497" w:type="dxa"/>
            <w:noWrap w:val="0"/>
            <w:vAlign w:val="center"/>
          </w:tcPr>
          <w:p w14:paraId="34B07F92">
            <w:pPr>
              <w:spacing w:line="360" w:lineRule="auto"/>
              <w:rPr>
                <w:rFonts w:hint="eastAsia" w:ascii="宋体" w:hAnsi="宋体" w:eastAsia="宋体" w:cs="宋体"/>
                <w:color w:val="auto"/>
                <w:sz w:val="24"/>
                <w:szCs w:val="24"/>
                <w:highlight w:val="none"/>
              </w:rPr>
            </w:pPr>
          </w:p>
        </w:tc>
        <w:tc>
          <w:tcPr>
            <w:tcW w:w="1260" w:type="dxa"/>
            <w:noWrap w:val="0"/>
            <w:vAlign w:val="center"/>
          </w:tcPr>
          <w:p w14:paraId="4CECC90D">
            <w:pPr>
              <w:spacing w:line="360" w:lineRule="auto"/>
              <w:rPr>
                <w:rFonts w:hint="eastAsia" w:ascii="宋体" w:hAnsi="宋体" w:eastAsia="宋体" w:cs="宋体"/>
                <w:color w:val="auto"/>
                <w:sz w:val="24"/>
                <w:szCs w:val="24"/>
                <w:highlight w:val="none"/>
              </w:rPr>
            </w:pPr>
          </w:p>
        </w:tc>
        <w:tc>
          <w:tcPr>
            <w:tcW w:w="821" w:type="dxa"/>
            <w:noWrap w:val="0"/>
            <w:vAlign w:val="center"/>
          </w:tcPr>
          <w:p w14:paraId="5C3E11CC">
            <w:pPr>
              <w:spacing w:line="360" w:lineRule="auto"/>
              <w:rPr>
                <w:rFonts w:hint="eastAsia" w:ascii="宋体" w:hAnsi="宋体" w:eastAsia="宋体" w:cs="宋体"/>
                <w:color w:val="auto"/>
                <w:sz w:val="24"/>
                <w:szCs w:val="24"/>
                <w:highlight w:val="none"/>
              </w:rPr>
            </w:pPr>
          </w:p>
        </w:tc>
        <w:tc>
          <w:tcPr>
            <w:tcW w:w="1180" w:type="dxa"/>
            <w:noWrap w:val="0"/>
            <w:vAlign w:val="center"/>
          </w:tcPr>
          <w:p w14:paraId="3CD6B345">
            <w:pPr>
              <w:spacing w:line="360" w:lineRule="auto"/>
              <w:rPr>
                <w:rFonts w:hint="eastAsia" w:ascii="宋体" w:hAnsi="宋体" w:eastAsia="宋体" w:cs="宋体"/>
                <w:color w:val="auto"/>
                <w:sz w:val="24"/>
                <w:szCs w:val="24"/>
                <w:highlight w:val="none"/>
              </w:rPr>
            </w:pPr>
          </w:p>
        </w:tc>
        <w:tc>
          <w:tcPr>
            <w:tcW w:w="642" w:type="dxa"/>
            <w:noWrap w:val="0"/>
            <w:vAlign w:val="center"/>
          </w:tcPr>
          <w:p w14:paraId="02663AA9">
            <w:pPr>
              <w:spacing w:line="360" w:lineRule="auto"/>
              <w:rPr>
                <w:rFonts w:hint="eastAsia" w:ascii="宋体" w:hAnsi="宋体" w:eastAsia="宋体" w:cs="宋体"/>
                <w:color w:val="auto"/>
                <w:sz w:val="24"/>
                <w:szCs w:val="24"/>
                <w:highlight w:val="none"/>
              </w:rPr>
            </w:pPr>
          </w:p>
        </w:tc>
        <w:tc>
          <w:tcPr>
            <w:tcW w:w="796" w:type="dxa"/>
            <w:noWrap w:val="0"/>
            <w:vAlign w:val="center"/>
          </w:tcPr>
          <w:p w14:paraId="51ADA9A4">
            <w:pPr>
              <w:spacing w:line="360" w:lineRule="auto"/>
              <w:rPr>
                <w:rFonts w:hint="eastAsia" w:ascii="宋体" w:hAnsi="宋体" w:eastAsia="宋体" w:cs="宋体"/>
                <w:color w:val="auto"/>
                <w:sz w:val="24"/>
                <w:szCs w:val="24"/>
                <w:highlight w:val="none"/>
              </w:rPr>
            </w:pPr>
          </w:p>
        </w:tc>
        <w:tc>
          <w:tcPr>
            <w:tcW w:w="1080" w:type="dxa"/>
            <w:noWrap w:val="0"/>
            <w:vAlign w:val="center"/>
          </w:tcPr>
          <w:p w14:paraId="0202AB07">
            <w:pPr>
              <w:spacing w:line="360" w:lineRule="auto"/>
              <w:rPr>
                <w:rFonts w:hint="eastAsia" w:ascii="宋体" w:hAnsi="宋体" w:eastAsia="宋体" w:cs="宋体"/>
                <w:color w:val="auto"/>
                <w:sz w:val="24"/>
                <w:szCs w:val="24"/>
                <w:highlight w:val="none"/>
              </w:rPr>
            </w:pPr>
          </w:p>
        </w:tc>
      </w:tr>
    </w:tbl>
    <w:p w14:paraId="02357F3D">
      <w:pPr>
        <w:pStyle w:val="5"/>
        <w:rPr>
          <w:rFonts w:hint="eastAsia" w:ascii="宋体" w:hAnsi="宋体" w:eastAsia="宋体" w:cs="宋体"/>
          <w:color w:val="auto"/>
          <w:sz w:val="24"/>
          <w:szCs w:val="24"/>
          <w:highlight w:val="none"/>
        </w:rPr>
      </w:pPr>
      <w:bookmarkStart w:id="10" w:name="_Toc265408500"/>
      <w:r>
        <w:rPr>
          <w:rFonts w:hint="eastAsia" w:ascii="宋体" w:hAnsi="宋体" w:eastAsia="宋体" w:cs="宋体"/>
          <w:color w:val="auto"/>
          <w:sz w:val="24"/>
          <w:szCs w:val="24"/>
          <w:highlight w:val="none"/>
        </w:rPr>
        <w:t>11开工和竣工</w:t>
      </w:r>
      <w:bookmarkEnd w:id="10"/>
      <w:r>
        <w:rPr>
          <w:rFonts w:hint="eastAsia" w:ascii="宋体" w:hAnsi="宋体" w:eastAsia="宋体" w:cs="宋体"/>
          <w:color w:val="auto"/>
          <w:sz w:val="24"/>
          <w:szCs w:val="24"/>
          <w:highlight w:val="none"/>
        </w:rPr>
        <w:t>（完工）</w:t>
      </w:r>
    </w:p>
    <w:p w14:paraId="0E6E47C1">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11.1开工</w:t>
      </w:r>
    </w:p>
    <w:p w14:paraId="2C0B3CD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11.1.1监理人应在开工日期7天前向承包人发出开工通知。监理人在发出开工通知前应获得发包人同意。工期自监理人发出的开工通知中载明的开工日期起计算。承包人应在开工日期后尽快施工。</w:t>
      </w:r>
    </w:p>
    <w:p w14:paraId="07C9FA2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0A761E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11.1.3若发包人未能按合同约定向承包人提供开工的必要条件，承包人有权要求延长工期。监理人应在收到承包人的书面要求后，按第3.5款的约定，与合同双方商定或确定增加的费用和延长的工期。</w:t>
      </w:r>
    </w:p>
    <w:p w14:paraId="5C4EB4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11.1.4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128FDA51">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11.2竣工（完工）</w:t>
      </w:r>
    </w:p>
    <w:p w14:paraId="0EDDB74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承包人应在第1.1.4.3目约定的期限内完成合同工程。合同工程实际完工日期在合同工程完工证书中明确。</w:t>
      </w:r>
    </w:p>
    <w:p w14:paraId="40D6E41E">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11.3发包人的工期延误</w:t>
      </w:r>
    </w:p>
    <w:p w14:paraId="0A70891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在履行合同过程中，由于发包人的下列原因造成工期延误的，承包人有权要求发包人延长工期和（或）增加费用，并支付合理利润。需要修订合同进度计划的，按照第10.2款的约定办理。</w:t>
      </w:r>
    </w:p>
    <w:p w14:paraId="593C17A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（l）增加合同工作内容；</w:t>
      </w:r>
    </w:p>
    <w:p w14:paraId="2D2D07D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（2）改变合同中任何一项工作的质量要求或其他特性；</w:t>
      </w:r>
    </w:p>
    <w:p w14:paraId="59D0AC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（3）发包人迟延提供材料、工程设备或变更交货地点的；</w:t>
      </w:r>
    </w:p>
    <w:p w14:paraId="04EBAB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（4）因发包人原因导致的暂停施工；</w:t>
      </w:r>
    </w:p>
    <w:p w14:paraId="0974E9C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（5）提供图纸延误；</w:t>
      </w:r>
    </w:p>
    <w:p w14:paraId="7AEF045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（6）未按合同约定及时支付预付款、进度款；</w:t>
      </w:r>
    </w:p>
    <w:p w14:paraId="0598E1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（7）发包人造成工期延误的其他原因。</w:t>
      </w:r>
    </w:p>
    <w:p w14:paraId="2FE719E4">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11.4异常恶劣的气候条件</w:t>
      </w:r>
    </w:p>
    <w:p w14:paraId="26EF642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11.4.1当工程所在地发生危及施工安全的异常恶劣气候时，发包人和承包人应按本合同通用合同条款第12条的约定，及时采取暂停施工或部分暂停施工措施。异常恶劣气候条件解除后，承包人应及时安排复工。</w:t>
      </w:r>
    </w:p>
    <w:p w14:paraId="4C47120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11.4.2异常恶劣气候条件造成的工期延误和工程损坏，应由发包人与承包人参照本合同通用合同条款第21.3款的约定协商处理。</w:t>
      </w:r>
    </w:p>
    <w:p w14:paraId="6ED1FC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11.4.3本合同工程界定异常恶劣气候条件的范围在专用合同条款中约定。</w:t>
      </w:r>
    </w:p>
    <w:p w14:paraId="51F2836F">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11.5承包人的工期延误</w:t>
      </w:r>
    </w:p>
    <w:p w14:paraId="75FF7BB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47955BD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11.6工期提前</w:t>
      </w:r>
    </w:p>
    <w:p w14:paraId="5BC39E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7896F5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发包人要求提前完工的，双方协商一致后应签订提前完工协议，协议内容包括：</w:t>
      </w:r>
    </w:p>
    <w:p w14:paraId="1A39F3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（1）提前的时间和修订后的进度计划；</w:t>
      </w:r>
    </w:p>
    <w:p w14:paraId="3F550A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（2）承包人的赶工措施；</w:t>
      </w:r>
    </w:p>
    <w:p w14:paraId="642D21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（3）发包人为赶工提供的条件；</w:t>
      </w:r>
    </w:p>
    <w:p w14:paraId="3D3E3CF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（4）赶工费用（包括利润和奖金）。</w:t>
      </w:r>
    </w:p>
    <w:p w14:paraId="118DD518">
      <w:pPr>
        <w:pStyle w:val="5"/>
        <w:rPr>
          <w:rFonts w:hint="eastAsia" w:ascii="宋体" w:hAnsi="宋体" w:eastAsia="宋体" w:cs="宋体"/>
          <w:color w:val="auto"/>
          <w:sz w:val="24"/>
          <w:szCs w:val="24"/>
          <w:highlight w:val="none"/>
        </w:rPr>
      </w:pPr>
      <w:bookmarkStart w:id="11" w:name="_Toc265408501"/>
      <w:r>
        <w:rPr>
          <w:rFonts w:hint="eastAsia" w:ascii="宋体" w:hAnsi="宋体" w:eastAsia="宋体" w:cs="宋体"/>
          <w:color w:val="auto"/>
          <w:sz w:val="24"/>
          <w:szCs w:val="24"/>
          <w:highlight w:val="none"/>
        </w:rPr>
        <w:t>12暂停施工</w:t>
      </w:r>
      <w:bookmarkEnd w:id="11"/>
    </w:p>
    <w:p w14:paraId="32548614">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12.1承包人暂停施工的责任</w:t>
      </w:r>
    </w:p>
    <w:p w14:paraId="73BB78B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因下列暂停施工增加的费用和（或）工期延误由承包人承担：</w:t>
      </w:r>
    </w:p>
    <w:p w14:paraId="74159A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（1）承包人违约引起的暂停施工；</w:t>
      </w:r>
    </w:p>
    <w:p w14:paraId="77085C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（2）由于承包人原因为工程合理施工和安全保障所必需的暂停施工；</w:t>
      </w:r>
    </w:p>
    <w:p w14:paraId="33D1D13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（3）承包人擅自暂停施工；</w:t>
      </w:r>
    </w:p>
    <w:p w14:paraId="599853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（4）承包人其他原因引起的暂停施工；</w:t>
      </w:r>
    </w:p>
    <w:p w14:paraId="14C7575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（5）专用合同条款约定由承包人承担的其他暂停施工。</w:t>
      </w:r>
    </w:p>
    <w:p w14:paraId="208FEDDC">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12.2发包人暂停施工的责任</w:t>
      </w:r>
    </w:p>
    <w:p w14:paraId="14319E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由于发包人原因引起的暂停施工造成工期延误的，承包人有权要求发包人延长工期和（或）增加费用，并支付合理利润。</w:t>
      </w:r>
    </w:p>
    <w:p w14:paraId="655964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属于下列任何一种情况引起的暂停施工，均为发包人的责任：</w:t>
      </w:r>
    </w:p>
    <w:p w14:paraId="2B2FE3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（1）由于发包人违约引起的暂停施工；</w:t>
      </w:r>
    </w:p>
    <w:p w14:paraId="64AE023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（2）由于不可抗力的自然或社会因素引起的暂停施工；</w:t>
      </w:r>
    </w:p>
    <w:p w14:paraId="54FED5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（3）专用合同条款中约定的其它由于发包人原因引起的暂停施工。</w:t>
      </w:r>
    </w:p>
    <w:p w14:paraId="28252A5A">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12.3监理人暂停施工指示</w:t>
      </w:r>
    </w:p>
    <w:p w14:paraId="604E5C4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12.3.1监理人认为有必要时，可向承包人作出暂停施工的指示，承包人应按监理人指示暂停施工。不论由于何种原因引起的暂停施工，暂停施工期间承包人应负责妥善保护工程并提供安全保障。</w:t>
      </w:r>
    </w:p>
    <w:p w14:paraId="0FC50F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580BF755">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12.4暂停施工后的复工</w:t>
      </w:r>
    </w:p>
    <w:p w14:paraId="05B2DE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12.4.1暂停施工后，监理人应与发包人和承包人协商，采取有效措施积极消除暂停施工的影响。当工程具备复工条件时，监理人应立即向承包人发出复工通知。承包人收到复工通知后，应在监理人指定的期限内复工。</w:t>
      </w:r>
    </w:p>
    <w:p w14:paraId="243DC3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12.4.2承包人无故拖延和拒绝复工的，由此增加的费用和工期延误由承包人承担；因发包人原因无法按时复工的，承包人有权要求发包人延长工期和（或）增加费用，并支付合理利润。</w:t>
      </w:r>
    </w:p>
    <w:p w14:paraId="2744155F">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12.5暂停施工持续56天以上</w:t>
      </w:r>
    </w:p>
    <w:p w14:paraId="3739E4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12.5.1监理人发出暂停施工指示后56天内未向承包人发出复工通知，除了该项停工属于第12.1款的情况外，承包人可向监理人提交书面通知，要求监理人在收到书面通知后28天内准许已暂停施工的工程或其中一部分工程继续施工。如监理人逾期不予批准，则承包人可以通知监理人，将工程受影响的部分视为按第15.1（l）款的可取消工作。如暂停施工影响到整个工程，可视为发包人违约，应按第22.2款的规定办理。</w:t>
      </w:r>
    </w:p>
    <w:p w14:paraId="76AF3D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12.5.2由于承包人责任引起的暂停施工，如承包人在收到监理人暂停施工指示后56天内不认真采取有效的复工措施，造成工期延误，可视为承包人违约，应按第22.1款的规定办理。</w:t>
      </w:r>
    </w:p>
    <w:p w14:paraId="2A800F27">
      <w:pPr>
        <w:pStyle w:val="5"/>
        <w:rPr>
          <w:rFonts w:hint="eastAsia" w:ascii="宋体" w:hAnsi="宋体" w:eastAsia="宋体" w:cs="宋体"/>
          <w:color w:val="auto"/>
          <w:sz w:val="24"/>
          <w:szCs w:val="24"/>
          <w:highlight w:val="none"/>
        </w:rPr>
      </w:pPr>
      <w:bookmarkStart w:id="12" w:name="_Toc265408502"/>
      <w:r>
        <w:rPr>
          <w:rFonts w:hint="eastAsia" w:ascii="宋体" w:hAnsi="宋体" w:eastAsia="宋体" w:cs="宋体"/>
          <w:color w:val="auto"/>
          <w:sz w:val="24"/>
          <w:szCs w:val="24"/>
          <w:highlight w:val="none"/>
        </w:rPr>
        <w:t>13工程质量</w:t>
      </w:r>
      <w:bookmarkEnd w:id="12"/>
    </w:p>
    <w:p w14:paraId="66878E33">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13.1工程质量要求</w:t>
      </w:r>
    </w:p>
    <w:p w14:paraId="5DE926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13.1.1工程质量验收按合同约定验收标准执行。</w:t>
      </w:r>
    </w:p>
    <w:p w14:paraId="375F54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13.1.2因承包人原因造成工程质量达不到合同约定验收标准的，监理人有权要求承包人返工直至符合合同要求为止，由此造成的费用增加和（或）工期延误由承包人承担。</w:t>
      </w:r>
    </w:p>
    <w:p w14:paraId="25DF42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13.1.3因发包人原因造成工程质量达不到合同约定验收标准的，发包人应承担由于承包人返工造成的费用增加和（或）工期延误，并支付承包人合理利润。</w:t>
      </w:r>
    </w:p>
    <w:p w14:paraId="37788FF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13.2承包人的质量管理</w:t>
      </w:r>
    </w:p>
    <w:p w14:paraId="2D6C228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13.2.1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14:paraId="778416D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13.2.2承包人应加强对施工人员的质量教育和技术培训，定期考核施工人员的劳动技能，严格执行规范和操作规程。</w:t>
      </w:r>
    </w:p>
    <w:p w14:paraId="51ED4A4F">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13.3承包人的质量检查</w:t>
      </w:r>
    </w:p>
    <w:p w14:paraId="1AAA78E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承包人应按合同约定对材料、工程设备以及工程的所有部位及其施工工艺进行全过程的质量检查和检验，并作详细记录，编制工程质量报表，报送监理人审查。</w:t>
      </w:r>
    </w:p>
    <w:p w14:paraId="2746B0C8">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13.4监理人的质量检查</w:t>
      </w:r>
    </w:p>
    <w:p w14:paraId="39A3B8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2D4ECD45">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13.5工程隐蔽部位覆盖前的检查</w:t>
      </w:r>
    </w:p>
    <w:p w14:paraId="528F74C4">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13.5.1通知监理人检查</w:t>
      </w:r>
    </w:p>
    <w:p w14:paraId="23116F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7313089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13.5.2监理人未到场检查</w:t>
      </w:r>
    </w:p>
    <w:p w14:paraId="129B7ED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监理人未按第13.5.l款约定的时间进行检查的，除监理人另有指示外，承包人可自行完成覆盖工作，并作相应记录报送监理人，监理人应签字确认。监理人事后对检查记录有疑问的，可按第13.5.3款的约定重新检查。</w:t>
      </w:r>
    </w:p>
    <w:p w14:paraId="5F0B04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13.5.3监理人重新检查</w:t>
      </w:r>
    </w:p>
    <w:p w14:paraId="1AD97B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按第13.5.1款或第13.5.2款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00C0BC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13.5.4承包人私自覆盖</w:t>
      </w:r>
    </w:p>
    <w:p w14:paraId="61EBBCB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承包人未通知监理人到场检查，私自将工程隐蔽部位覆盖的，监理人有权指示承包人钻孔探测或揭开检查，由此增加的费用和（或）工期延误由承包人承担。</w:t>
      </w:r>
    </w:p>
    <w:p w14:paraId="19D28237">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13.6清除不合格工程</w:t>
      </w:r>
    </w:p>
    <w:p w14:paraId="3E838BB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13.6.1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7D9C4D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13.6.2由于发包人提供的材料或工程设备不合格造成的工程不合格，需要承包人采取措施补救的，发包人应承担由此增加的费用和（或）工期延误，并支付承包人合理利润。</w:t>
      </w:r>
    </w:p>
    <w:p w14:paraId="78EE7FC8">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13.7质量评定</w:t>
      </w:r>
    </w:p>
    <w:p w14:paraId="65F0E6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13.7.1发包人应组织承包人进行工程项目划分，并确定单位工程、主要分部工程、重要隐蔽单元工程和关键部位单元工程。</w:t>
      </w:r>
    </w:p>
    <w:p w14:paraId="5EB5CB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13.7.2工程实施过程中，单位工程、主要分部工程、重要隐蔽单元工程和关键部位单元工程的项目划分需要调整时，承包人应报发包人确认。</w:t>
      </w:r>
    </w:p>
    <w:p w14:paraId="3C5D1AF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13.7.3承包人应在单元（工序）工程质量自评合格后，报监理人核定质量等级并签证认可。</w:t>
      </w:r>
    </w:p>
    <w:p w14:paraId="3EBE6C8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13.7.4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5B28C61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13.7.5承包人应在分部工程质量自评合格后，报监理人复核和发包人认定。发包人负责按有关规定完成分部工程质量结论报工程质量监督机构核备（核定）手续。</w:t>
      </w:r>
    </w:p>
    <w:p w14:paraId="43C1E8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13.7.6承包人应在单位工程质量自评合格后，报监理人复核和发包人认定。发包人负责按有关规定完成单位工程质量结论报工程质量监督机构核定手续。</w:t>
      </w:r>
    </w:p>
    <w:p w14:paraId="2DFAE9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13.7.7除专用合同条款另有约定外，工程质量等级分为合格和优良，应分别达到约定的标准。</w:t>
      </w:r>
    </w:p>
    <w:p w14:paraId="4E00660F">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13.8质量事故处理</w:t>
      </w:r>
    </w:p>
    <w:p w14:paraId="1F3726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13.8.1发生质量事故时，承包人应及时向发包人和监理人报告。</w:t>
      </w:r>
    </w:p>
    <w:p w14:paraId="3275A2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13.8.2质量事故调查处理由发包人按相关规定履行手续，承包人应配合。</w:t>
      </w:r>
    </w:p>
    <w:p w14:paraId="6E5F823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13.8.3承包人应对质量缺陷进行备案。发包人委托监理人对质量缺陷备案情况进行监督检查并履行相关手续。</w:t>
      </w:r>
    </w:p>
    <w:p w14:paraId="3551862E">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13.8.4除专用合同条款另有约定外，工程竣工验收时，发包人负责向竣工验收委员会汇报并提交历次质量缺陷处理的备案资料。</w:t>
      </w:r>
    </w:p>
    <w:p w14:paraId="38E571FB">
      <w:pPr>
        <w:pStyle w:val="5"/>
        <w:rPr>
          <w:rFonts w:hint="eastAsia" w:ascii="宋体" w:hAnsi="宋体" w:eastAsia="宋体" w:cs="宋体"/>
          <w:color w:val="auto"/>
          <w:sz w:val="24"/>
          <w:szCs w:val="24"/>
          <w:highlight w:val="none"/>
        </w:rPr>
      </w:pPr>
      <w:bookmarkStart w:id="13" w:name="_Toc265408503"/>
      <w:r>
        <w:rPr>
          <w:rFonts w:hint="eastAsia" w:ascii="宋体" w:hAnsi="宋体" w:eastAsia="宋体" w:cs="宋体"/>
          <w:color w:val="auto"/>
          <w:sz w:val="24"/>
          <w:szCs w:val="24"/>
          <w:highlight w:val="none"/>
        </w:rPr>
        <w:t>14试验和检验</w:t>
      </w:r>
      <w:bookmarkEnd w:id="13"/>
    </w:p>
    <w:p w14:paraId="7D244893">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14.1材料、工程设备和工程的试验和检验</w:t>
      </w:r>
    </w:p>
    <w:p w14:paraId="013E79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448F767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14.1.2监理人未按合同约定派员参加试验和检验的，除监理人另有指示外，承包人可自行试验和检验，并应立即将试验和检验结果报送监理人，监理人应签字确认。</w:t>
      </w:r>
    </w:p>
    <w:p w14:paraId="3BAEE1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14.1.3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124081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14.1.4承包人应按相关规定和标准对水泥、钢材等原材料与中间产品质量进行检验，并报监理人复核。</w:t>
      </w:r>
    </w:p>
    <w:p w14:paraId="01AFB2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1BC32FD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14.1.6对专用合同条款约定的试块、试件及有关材料，监理人实行见证取样。见证取样资料由承包人制备，记录应真实齐全，监理人、承包人等参与见证取样人员均应在相关文件上签字。</w:t>
      </w:r>
    </w:p>
    <w:p w14:paraId="5C0CCAC4">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14.2现场材料试验</w:t>
      </w:r>
    </w:p>
    <w:p w14:paraId="0403DB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14.2.1承包人根据合同约定或监理人指示进行的现场材料试验，应由承包人提供试验场所、试验人员、试验设备器材以及其他必要的试验条件。</w:t>
      </w:r>
    </w:p>
    <w:p w14:paraId="482165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14.2.2监理人在必要时可以使用承包人的试验场所、试验设备器材以及其他试验条件，进行以工程质量检查为目的的复核性材料试验，承包人应予以协助。</w:t>
      </w:r>
    </w:p>
    <w:p w14:paraId="2DD144A7">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14.3现场工艺试验</w:t>
      </w:r>
    </w:p>
    <w:p w14:paraId="7359D9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424D6CDB">
      <w:pPr>
        <w:pStyle w:val="5"/>
        <w:rPr>
          <w:rFonts w:hint="eastAsia" w:ascii="宋体" w:hAnsi="宋体" w:eastAsia="宋体" w:cs="宋体"/>
          <w:color w:val="auto"/>
          <w:sz w:val="24"/>
          <w:szCs w:val="24"/>
          <w:highlight w:val="none"/>
        </w:rPr>
      </w:pPr>
      <w:bookmarkStart w:id="14" w:name="_Toc265408504"/>
      <w:r>
        <w:rPr>
          <w:rFonts w:hint="eastAsia" w:ascii="宋体" w:hAnsi="宋体" w:eastAsia="宋体" w:cs="宋体"/>
          <w:color w:val="auto"/>
          <w:sz w:val="24"/>
          <w:szCs w:val="24"/>
          <w:highlight w:val="none"/>
        </w:rPr>
        <w:t>15变更</w:t>
      </w:r>
      <w:bookmarkEnd w:id="14"/>
    </w:p>
    <w:p w14:paraId="7D3D597A">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15.1变更的范围和内容</w:t>
      </w:r>
    </w:p>
    <w:p w14:paraId="4E0763E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在履行合同中发生以下情形之一，应按照本款规定进行变更。</w:t>
      </w:r>
    </w:p>
    <w:p w14:paraId="5CE72F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（1）取消合同中任何一项工作，但被取消的工作不能转由发包人或其它人实施；</w:t>
      </w:r>
    </w:p>
    <w:p w14:paraId="669AD8E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（2）改变合同中任何一项工作的质量或其它特性；</w:t>
      </w:r>
    </w:p>
    <w:p w14:paraId="4D91EF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（3）改变合同工程的基线、标高、位置或尺寸；</w:t>
      </w:r>
    </w:p>
    <w:p w14:paraId="39EF21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（4）改变合同中任何一项工作的施工时间或改变已批准的施工工艺或顺序；</w:t>
      </w:r>
    </w:p>
    <w:p w14:paraId="0977E76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（5）为完成工程需要追加的额外工作；</w:t>
      </w:r>
    </w:p>
    <w:p w14:paraId="19E49B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（6）增加或减少专用合同条款中约定的关键项目工程量超过其工程总量的一定数量百分比。</w:t>
      </w:r>
    </w:p>
    <w:p w14:paraId="5377EC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上述第（1）～（6）目的变更内容引起工程施工组织和进度计划发生实质性变动和影响其原定的价格时，才予调整该项目的单价。第（6）目情形下单价调整方式在专用合同条款中约定。</w:t>
      </w:r>
    </w:p>
    <w:p w14:paraId="43DDCDBE">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15.2变更权</w:t>
      </w:r>
    </w:p>
    <w:p w14:paraId="7AF938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在履行合同过程中，经发包人同意，监理人可按第15.3款约定的变更程序向承包人作出变更指示，承包人应遵照执行。没有监理人的变更指示，承包人不得擅自变更。</w:t>
      </w:r>
    </w:p>
    <w:p w14:paraId="2F46EA85">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15.3变更程序</w:t>
      </w:r>
    </w:p>
    <w:p w14:paraId="12AFB5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15.3.1变更的提出</w:t>
      </w:r>
    </w:p>
    <w:p w14:paraId="73C715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合同履行过程中，可能发生第15.1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款约定发出变更指示。</w:t>
      </w:r>
    </w:p>
    <w:p w14:paraId="59E34C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（2）在合同履行过程中，发生第15.1款约定情形的，监理人应按照第15.3.3款约定向承包人发出变更指示。</w:t>
      </w:r>
    </w:p>
    <w:p w14:paraId="0D0D33E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收到监理人按合同约定发出的图纸和文件，经检查认为其中存在第15.1款约定情形的，可向监理人提出书面变更建议。变更建议应阐明要求变更的依据，并附必要的图纸和说明。监理人收到承包人书面建议后，应与发包人共同研究，确认存在变更的，应在收到承包人书面建议后的14天内作出变更指示。经研究后不同意作为变更的，应由监理人书面答复承包人。</w:t>
      </w:r>
    </w:p>
    <w:p w14:paraId="6283C25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（4）若承包人收到监理人的变更意向书后认为难以实施此项变更，应立即通知监理人，说明原因并附详细依据。监理人与承包人和发包人协商后确定撤销、改变或不改变原变更意向书。</w:t>
      </w:r>
    </w:p>
    <w:p w14:paraId="6FDCA1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15.3.2变更估价</w:t>
      </w:r>
    </w:p>
    <w:p w14:paraId="3BF75D3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除专用合同条款对期限另有约定外，承包人应在收到变更指示或变更意向书后的14天内，向监理人提交变更报价书，报价内容应根据第15.4款约定的估价原则，详细开列变更工作的价格组成及其依据，并附必要的施工方法说明和有关图纸。</w:t>
      </w:r>
    </w:p>
    <w:p w14:paraId="339065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（2）变更工作影响工期的，承包人应提出调整工期的具体细节。监理人认为有必要时，可要求承包人提交要求提前或延长工期的施工进度计划及相应施工措施等详细资料。</w:t>
      </w:r>
    </w:p>
    <w:p w14:paraId="62E9EDD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（3）除专用合同条款对期限另有约定外，监理人收到承包人变更报价书后的14天内，根据第15.4款约定的估价原则，按照第3.5款商定或确定变更价格。</w:t>
      </w:r>
    </w:p>
    <w:p w14:paraId="316160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15.3.3变更指示</w:t>
      </w:r>
    </w:p>
    <w:p w14:paraId="2C254EC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（l）变更指示只能由监理人发出。</w:t>
      </w:r>
    </w:p>
    <w:p w14:paraId="39663C3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（2）变更指示应说明变更的目的、范围、变更内容以及变更的工程量及其进度和技术要求，并附有关图纸和文件。承包人收到变更指示后，应按变更指示进行变更工作。</w:t>
      </w:r>
    </w:p>
    <w:p w14:paraId="2908E586">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15.4变更的估价原则</w:t>
      </w:r>
    </w:p>
    <w:p w14:paraId="584705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除专用合同条款另有约定外，因变更引起的价格调整按照本款约定处理。15.4.1己标价工程量清单中有适用于变更工作的子目的，采用该子目的单价。</w:t>
      </w:r>
    </w:p>
    <w:p w14:paraId="093613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15.4.2己标价工程量清单中无适用于变更工作的子目，但有类似子目的，可在合理范围内参照类似子目的单价，由监理人按第3.5款商定或确定变更工作的单价。</w:t>
      </w:r>
    </w:p>
    <w:p w14:paraId="12F5ABE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15.4.3己标价工程量清单中无适用或类似子目的单价，可按照成本加利润的原则，由监理人按第3.5款商定或确定变更工作的单价。</w:t>
      </w:r>
    </w:p>
    <w:p w14:paraId="5BFF29E3">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15.5承包人的合理化建议</w:t>
      </w:r>
    </w:p>
    <w:p w14:paraId="0573A5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15.5.1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款约定向承包人发出变更指示。</w:t>
      </w:r>
    </w:p>
    <w:p w14:paraId="185BE70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15.5.2承包人提出的合理化建议降低了合同价格、缩短了工期或者提高了工程经济效益的，发包人可按国家有关规定在专用合同条款中约定给予奖励。</w:t>
      </w:r>
    </w:p>
    <w:p w14:paraId="00B04B65">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15.6暂列金额</w:t>
      </w:r>
    </w:p>
    <w:p w14:paraId="056220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暂列金额只能按照监理人的指示使用，并对合同价格进行相应调整。</w:t>
      </w:r>
    </w:p>
    <w:p w14:paraId="5FFA0789">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15.7计日工</w:t>
      </w:r>
    </w:p>
    <w:p w14:paraId="044787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15.7.1发包人认为有必要时，由监理人通知承包人以计日工方式实施变更的零星工作。其价款按列入已标价工程量清单中的计日工计价子目及其单价进行计算。</w:t>
      </w:r>
    </w:p>
    <w:p w14:paraId="3443277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15.7.2采用计日工计价的任何一项变更工作，应从暂列金额中支付，承包人应在该项变更的实施过程中，每天提交以下报表和有关凭证报送监理人审批：</w:t>
      </w:r>
    </w:p>
    <w:p w14:paraId="3C71582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（l）工作名称、内容和数量；</w:t>
      </w:r>
    </w:p>
    <w:p w14:paraId="09032A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（2）投入该工作所有人员的姓名、工种、级别和耗用工时；</w:t>
      </w:r>
    </w:p>
    <w:p w14:paraId="499ED7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（3）投入该工作的材料类别和数量；</w:t>
      </w:r>
    </w:p>
    <w:p w14:paraId="159D71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（4）投入该工作的施工设备型号、台数和耗用台时；</w:t>
      </w:r>
    </w:p>
    <w:p w14:paraId="2D6F3C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（5）监理人要求提交的其他资料和凭证。</w:t>
      </w:r>
    </w:p>
    <w:p w14:paraId="37A6DFC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15.7.3计日工由承包人汇总后，按第17.3.2款的约定列入进度付款申请单，由监理人复核并经发包人同意后列入进度付款。</w:t>
      </w:r>
    </w:p>
    <w:p w14:paraId="2D451BB3">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15.8暂估价</w:t>
      </w:r>
    </w:p>
    <w:p w14:paraId="71B72A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15.8.1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593FB2C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15.8.2发包人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14:paraId="339CFA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15.8.3发包人在工程量清单中给定暂估价的专业工程不属于依法必须招标的范围或未达到规定的规模标准的，由监理人按照第15.4款进行估价，但专用合同条款另有约定的除外。经估价的专业工程与工程量清单中所列的暂估价的金额差以及相应的税金等其他费用列入合同价格。</w:t>
      </w:r>
    </w:p>
    <w:p w14:paraId="0B9940FC">
      <w:pPr>
        <w:pStyle w:val="5"/>
        <w:rPr>
          <w:rFonts w:hint="eastAsia" w:ascii="宋体" w:hAnsi="宋体" w:eastAsia="宋体" w:cs="宋体"/>
          <w:color w:val="auto"/>
          <w:sz w:val="24"/>
          <w:szCs w:val="24"/>
          <w:highlight w:val="none"/>
        </w:rPr>
      </w:pPr>
      <w:bookmarkStart w:id="15" w:name="_Toc265408505"/>
      <w:r>
        <w:rPr>
          <w:rFonts w:hint="eastAsia" w:ascii="宋体" w:hAnsi="宋体" w:eastAsia="宋体" w:cs="宋体"/>
          <w:color w:val="auto"/>
          <w:sz w:val="24"/>
          <w:szCs w:val="24"/>
          <w:highlight w:val="none"/>
        </w:rPr>
        <w:t>16价格调整</w:t>
      </w:r>
      <w:bookmarkEnd w:id="15"/>
    </w:p>
    <w:p w14:paraId="22E0686C">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16.1物价波动引起的价格调整</w:t>
      </w:r>
    </w:p>
    <w:p w14:paraId="4187FA8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由于物价波动原因引起合同价格需要调整的，其价格调整方式在专用合同条款中约定。</w:t>
      </w:r>
    </w:p>
    <w:p w14:paraId="64E4FD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16.1.1采用价格指数调整价格差额</w:t>
      </w:r>
    </w:p>
    <w:p w14:paraId="079C8C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16.1.1.1价格调整公式</w:t>
      </w:r>
    </w:p>
    <w:p w14:paraId="1C2805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因人工、材料和设备等价格波动影响合同价格时，根据投标函附录中的价格指数和权重表约定的数据，按以下公式计算差额并调整合同价格。</w:t>
      </w:r>
    </w:p>
    <w:p w14:paraId="2C97A14B">
      <w:pPr>
        <w:spacing w:line="22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F</w:t>
      </w:r>
      <w:r>
        <w:rPr>
          <w:rFonts w:hint="eastAsia" w:ascii="宋体" w:hAnsi="宋体" w:eastAsia="宋体" w:cs="宋体"/>
          <w:color w:val="auto"/>
          <w:sz w:val="24"/>
          <w:szCs w:val="24"/>
          <w:highlight w:val="none"/>
          <w:vertAlign w:val="subscript"/>
        </w:rPr>
        <w:t>t1</w:t>
      </w:r>
      <w:r>
        <w:rPr>
          <w:rFonts w:hint="eastAsia" w:ascii="宋体" w:hAnsi="宋体" w:eastAsia="宋体" w:cs="宋体"/>
          <w:color w:val="auto"/>
          <w:sz w:val="24"/>
          <w:szCs w:val="24"/>
          <w:highlight w:val="none"/>
        </w:rPr>
        <w:t>F</w:t>
      </w:r>
      <w:r>
        <w:rPr>
          <w:rFonts w:hint="eastAsia" w:ascii="宋体" w:hAnsi="宋体" w:eastAsia="宋体" w:cs="宋体"/>
          <w:color w:val="auto"/>
          <w:sz w:val="24"/>
          <w:szCs w:val="24"/>
          <w:highlight w:val="none"/>
          <w:vertAlign w:val="subscript"/>
        </w:rPr>
        <w:t>t2</w:t>
      </w:r>
      <w:r>
        <w:rPr>
          <w:rFonts w:hint="eastAsia" w:ascii="宋体" w:hAnsi="宋体" w:eastAsia="宋体" w:cs="宋体"/>
          <w:color w:val="auto"/>
          <w:sz w:val="24"/>
          <w:szCs w:val="24"/>
          <w:highlight w:val="none"/>
        </w:rPr>
        <w:t>F</w:t>
      </w:r>
      <w:r>
        <w:rPr>
          <w:rFonts w:hint="eastAsia" w:ascii="宋体" w:hAnsi="宋体" w:eastAsia="宋体" w:cs="宋体"/>
          <w:color w:val="auto"/>
          <w:sz w:val="24"/>
          <w:szCs w:val="24"/>
          <w:highlight w:val="none"/>
          <w:vertAlign w:val="subscript"/>
        </w:rPr>
        <w:t>t3</w:t>
      </w:r>
      <w:r>
        <w:rPr>
          <w:rFonts w:hint="eastAsia" w:ascii="宋体" w:hAnsi="宋体" w:eastAsia="宋体" w:cs="宋体"/>
          <w:color w:val="auto"/>
          <w:sz w:val="24"/>
          <w:szCs w:val="24"/>
          <w:highlight w:val="none"/>
        </w:rPr>
        <w:t>F</w:t>
      </w:r>
      <w:r>
        <w:rPr>
          <w:rFonts w:hint="eastAsia" w:ascii="宋体" w:hAnsi="宋体" w:eastAsia="宋体" w:cs="宋体"/>
          <w:color w:val="auto"/>
          <w:sz w:val="24"/>
          <w:szCs w:val="24"/>
          <w:highlight w:val="none"/>
          <w:vertAlign w:val="subscript"/>
        </w:rPr>
        <w:t>tn</w:t>
      </w:r>
    </w:p>
    <w:p w14:paraId="2F071172">
      <w:pPr>
        <w:numPr>
          <w:ilvl w:val="0"/>
          <w:numId w:val="1"/>
        </w:numPr>
        <w:spacing w:line="22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P=P</w:t>
      </w:r>
      <w:r>
        <w:rPr>
          <w:rFonts w:hint="eastAsia" w:ascii="宋体" w:hAnsi="宋体" w:eastAsia="宋体" w:cs="宋体"/>
          <w:color w:val="auto"/>
          <w:sz w:val="24"/>
          <w:szCs w:val="24"/>
          <w:highlight w:val="none"/>
          <w:vertAlign w:val="subscript"/>
        </w:rPr>
        <w:t>O</w:t>
      </w:r>
      <w:r>
        <w:rPr>
          <w:rFonts w:hint="eastAsia" w:ascii="宋体" w:hAnsi="宋体" w:eastAsia="宋体" w:cs="宋体"/>
          <w:color w:val="auto"/>
          <w:sz w:val="24"/>
          <w:szCs w:val="24"/>
          <w:highlight w:val="none"/>
        </w:rPr>
        <w:t>［A+｛B</w:t>
      </w:r>
      <w:r>
        <w:rPr>
          <w:rFonts w:hint="eastAsia" w:ascii="宋体" w:hAnsi="宋体" w:eastAsia="宋体" w:cs="宋体"/>
          <w:color w:val="auto"/>
          <w:sz w:val="24"/>
          <w:szCs w:val="24"/>
          <w:highlight w:val="none"/>
          <w:vertAlign w:val="subscript"/>
        </w:rPr>
        <w:t>1</w:t>
      </w:r>
      <w:r>
        <w:rPr>
          <w:rFonts w:hint="eastAsia" w:ascii="宋体" w:hAnsi="宋体" w:eastAsia="宋体" w:cs="宋体"/>
          <w:color w:val="auto"/>
          <w:sz w:val="24"/>
          <w:szCs w:val="24"/>
          <w:highlight w:val="none"/>
        </w:rPr>
        <w:t>×—＋B</w:t>
      </w:r>
      <w:r>
        <w:rPr>
          <w:rFonts w:hint="eastAsia" w:ascii="宋体" w:hAnsi="宋体" w:eastAsia="宋体" w:cs="宋体"/>
          <w:color w:val="auto"/>
          <w:sz w:val="24"/>
          <w:szCs w:val="24"/>
          <w:highlight w:val="none"/>
          <w:vertAlign w:val="subscript"/>
        </w:rPr>
        <w:t>2</w:t>
      </w:r>
      <w:r>
        <w:rPr>
          <w:rFonts w:hint="eastAsia" w:ascii="宋体" w:hAnsi="宋体" w:eastAsia="宋体" w:cs="宋体"/>
          <w:color w:val="auto"/>
          <w:sz w:val="24"/>
          <w:szCs w:val="24"/>
          <w:highlight w:val="none"/>
        </w:rPr>
        <w:t>×—＋B</w:t>
      </w:r>
      <w:r>
        <w:rPr>
          <w:rFonts w:hint="eastAsia" w:ascii="宋体" w:hAnsi="宋体" w:eastAsia="宋体" w:cs="宋体"/>
          <w:color w:val="auto"/>
          <w:sz w:val="24"/>
          <w:szCs w:val="24"/>
          <w:highlight w:val="none"/>
          <w:vertAlign w:val="subscript"/>
        </w:rPr>
        <w:t>3</w:t>
      </w:r>
      <w:r>
        <w:rPr>
          <w:rFonts w:hint="eastAsia" w:ascii="宋体" w:hAnsi="宋体" w:eastAsia="宋体" w:cs="宋体"/>
          <w:color w:val="auto"/>
          <w:sz w:val="24"/>
          <w:szCs w:val="24"/>
          <w:highlight w:val="none"/>
        </w:rPr>
        <w:t>×—＋…＋B</w:t>
      </w:r>
      <w:r>
        <w:rPr>
          <w:rFonts w:hint="eastAsia" w:ascii="宋体" w:hAnsi="宋体" w:eastAsia="宋体" w:cs="宋体"/>
          <w:color w:val="auto"/>
          <w:sz w:val="24"/>
          <w:szCs w:val="24"/>
          <w:highlight w:val="none"/>
          <w:vertAlign w:val="subscript"/>
        </w:rPr>
        <w:t>n</w:t>
      </w:r>
      <w:r>
        <w:rPr>
          <w:rFonts w:hint="eastAsia" w:ascii="宋体" w:hAnsi="宋体" w:eastAsia="宋体" w:cs="宋体"/>
          <w:color w:val="auto"/>
          <w:sz w:val="24"/>
          <w:szCs w:val="24"/>
          <w:highlight w:val="none"/>
        </w:rPr>
        <w:t>×—｝－1］</w:t>
      </w:r>
    </w:p>
    <w:p w14:paraId="7CD9970F">
      <w:pPr>
        <w:spacing w:line="220" w:lineRule="exact"/>
        <w:ind w:left="420" w:leftChars="200" w:firstLine="2160" w:firstLineChars="9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F</w:t>
      </w:r>
      <w:r>
        <w:rPr>
          <w:rFonts w:hint="eastAsia" w:ascii="宋体" w:hAnsi="宋体" w:eastAsia="宋体" w:cs="宋体"/>
          <w:color w:val="auto"/>
          <w:sz w:val="24"/>
          <w:szCs w:val="24"/>
          <w:highlight w:val="none"/>
          <w:vertAlign w:val="subscript"/>
        </w:rPr>
        <w:t>01</w:t>
      </w:r>
      <w:r>
        <w:rPr>
          <w:rFonts w:hint="eastAsia" w:ascii="宋体" w:hAnsi="宋体" w:eastAsia="宋体" w:cs="宋体"/>
          <w:color w:val="auto"/>
          <w:sz w:val="24"/>
          <w:szCs w:val="24"/>
          <w:highlight w:val="none"/>
        </w:rPr>
        <w:t>F</w:t>
      </w:r>
      <w:r>
        <w:rPr>
          <w:rFonts w:hint="eastAsia" w:ascii="宋体" w:hAnsi="宋体" w:eastAsia="宋体" w:cs="宋体"/>
          <w:color w:val="auto"/>
          <w:sz w:val="24"/>
          <w:szCs w:val="24"/>
          <w:highlight w:val="none"/>
          <w:vertAlign w:val="subscript"/>
        </w:rPr>
        <w:t>02</w:t>
      </w:r>
      <w:r>
        <w:rPr>
          <w:rFonts w:hint="eastAsia" w:ascii="宋体" w:hAnsi="宋体" w:eastAsia="宋体" w:cs="宋体"/>
          <w:color w:val="auto"/>
          <w:sz w:val="24"/>
          <w:szCs w:val="24"/>
          <w:highlight w:val="none"/>
        </w:rPr>
        <w:t>F</w:t>
      </w:r>
      <w:r>
        <w:rPr>
          <w:rFonts w:hint="eastAsia" w:ascii="宋体" w:hAnsi="宋体" w:eastAsia="宋体" w:cs="宋体"/>
          <w:color w:val="auto"/>
          <w:sz w:val="24"/>
          <w:szCs w:val="24"/>
          <w:highlight w:val="none"/>
          <w:vertAlign w:val="subscript"/>
        </w:rPr>
        <w:t>03</w:t>
      </w:r>
      <w:r>
        <w:rPr>
          <w:rFonts w:hint="eastAsia" w:ascii="宋体" w:hAnsi="宋体" w:eastAsia="宋体" w:cs="宋体"/>
          <w:color w:val="auto"/>
          <w:sz w:val="24"/>
          <w:szCs w:val="24"/>
          <w:highlight w:val="none"/>
        </w:rPr>
        <w:t>F</w:t>
      </w:r>
      <w:r>
        <w:rPr>
          <w:rFonts w:hint="eastAsia" w:ascii="宋体" w:hAnsi="宋体" w:eastAsia="宋体" w:cs="宋体"/>
          <w:color w:val="auto"/>
          <w:sz w:val="24"/>
          <w:szCs w:val="24"/>
          <w:highlight w:val="none"/>
          <w:vertAlign w:val="subscript"/>
        </w:rPr>
        <w:t>0n</w:t>
      </w:r>
    </w:p>
    <w:p w14:paraId="7555DE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式中：△P一需调整的价格差额；</w:t>
      </w:r>
    </w:p>
    <w:p w14:paraId="68F745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P</w:t>
      </w:r>
      <w:r>
        <w:rPr>
          <w:rFonts w:hint="eastAsia" w:ascii="宋体" w:hAnsi="宋体" w:eastAsia="宋体" w:cs="宋体"/>
          <w:color w:val="auto"/>
          <w:sz w:val="24"/>
          <w:szCs w:val="24"/>
          <w:highlight w:val="none"/>
          <w:vertAlign w:val="subscript"/>
        </w:rPr>
        <w:t>O</w:t>
      </w:r>
      <w:r>
        <w:rPr>
          <w:rFonts w:hint="eastAsia" w:ascii="宋体" w:hAnsi="宋体" w:eastAsia="宋体" w:cs="宋体"/>
          <w:color w:val="auto"/>
          <w:sz w:val="24"/>
          <w:szCs w:val="24"/>
          <w:highlight w:val="none"/>
        </w:rPr>
        <w:t>——第17.3.3款、第17.5.2款和第17.6.2款约定的付款证书中承包人应得到的己完成工程量的金额。此项金额应不包括价格调整、不计质量保证金的扣留和支付、预付款的支付和扣回。第15条约定的变更及其他金额已按现行价格计价的，也不计在内；</w:t>
      </w:r>
    </w:p>
    <w:p w14:paraId="448C5ABA">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A---定值权重（即不调部分的权重）；</w:t>
      </w:r>
    </w:p>
    <w:p w14:paraId="5B285038">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w:t>
      </w:r>
      <w:r>
        <w:rPr>
          <w:rFonts w:hint="eastAsia" w:ascii="宋体" w:hAnsi="宋体" w:eastAsia="宋体" w:cs="宋体"/>
          <w:color w:val="auto"/>
          <w:sz w:val="24"/>
          <w:szCs w:val="24"/>
          <w:highlight w:val="none"/>
          <w:vertAlign w:val="subscript"/>
        </w:rPr>
        <w:t>1</w:t>
      </w:r>
      <w:r>
        <w:rPr>
          <w:rFonts w:hint="eastAsia" w:ascii="宋体" w:hAnsi="宋体" w:eastAsia="宋体" w:cs="宋体"/>
          <w:color w:val="auto"/>
          <w:sz w:val="24"/>
          <w:szCs w:val="24"/>
          <w:highlight w:val="none"/>
        </w:rPr>
        <w:t>；B</w:t>
      </w:r>
      <w:r>
        <w:rPr>
          <w:rFonts w:hint="eastAsia" w:ascii="宋体" w:hAnsi="宋体" w:eastAsia="宋体" w:cs="宋体"/>
          <w:color w:val="auto"/>
          <w:sz w:val="24"/>
          <w:szCs w:val="24"/>
          <w:highlight w:val="none"/>
          <w:vertAlign w:val="subscript"/>
        </w:rPr>
        <w:t>2</w:t>
      </w:r>
      <w:r>
        <w:rPr>
          <w:rFonts w:hint="eastAsia" w:ascii="宋体" w:hAnsi="宋体" w:eastAsia="宋体" w:cs="宋体"/>
          <w:color w:val="auto"/>
          <w:sz w:val="24"/>
          <w:szCs w:val="24"/>
          <w:highlight w:val="none"/>
        </w:rPr>
        <w:t>；B</w:t>
      </w:r>
      <w:r>
        <w:rPr>
          <w:rFonts w:hint="eastAsia" w:ascii="宋体" w:hAnsi="宋体" w:eastAsia="宋体" w:cs="宋体"/>
          <w:color w:val="auto"/>
          <w:sz w:val="24"/>
          <w:szCs w:val="24"/>
          <w:highlight w:val="none"/>
          <w:vertAlign w:val="subscript"/>
        </w:rPr>
        <w:t>3</w:t>
      </w:r>
      <w:r>
        <w:rPr>
          <w:rFonts w:hint="eastAsia" w:ascii="宋体" w:hAnsi="宋体" w:eastAsia="宋体" w:cs="宋体"/>
          <w:color w:val="auto"/>
          <w:sz w:val="24"/>
          <w:szCs w:val="24"/>
          <w:highlight w:val="none"/>
        </w:rPr>
        <w:t>；……B</w:t>
      </w:r>
      <w:r>
        <w:rPr>
          <w:rFonts w:hint="eastAsia" w:ascii="宋体" w:hAnsi="宋体" w:eastAsia="宋体" w:cs="宋体"/>
          <w:color w:val="auto"/>
          <w:sz w:val="24"/>
          <w:szCs w:val="24"/>
          <w:highlight w:val="none"/>
          <w:vertAlign w:val="subscript"/>
        </w:rPr>
        <w:t>n</w:t>
      </w:r>
      <w:r>
        <w:rPr>
          <w:rFonts w:hint="eastAsia" w:ascii="宋体" w:hAnsi="宋体" w:eastAsia="宋体" w:cs="宋体"/>
          <w:color w:val="auto"/>
          <w:sz w:val="24"/>
          <w:szCs w:val="24"/>
          <w:highlight w:val="none"/>
        </w:rPr>
        <w:t>---各可调因子的变值权重（即可调部分的权重）为各可调因子在投标函投标总报价中所占的比例；</w:t>
      </w:r>
    </w:p>
    <w:p w14:paraId="5FABF80A">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F</w:t>
      </w:r>
      <w:r>
        <w:rPr>
          <w:rFonts w:hint="eastAsia" w:ascii="宋体" w:hAnsi="宋体" w:eastAsia="宋体" w:cs="宋体"/>
          <w:color w:val="auto"/>
          <w:sz w:val="24"/>
          <w:szCs w:val="24"/>
          <w:highlight w:val="none"/>
          <w:vertAlign w:val="subscript"/>
        </w:rPr>
        <w:t>t1</w:t>
      </w:r>
      <w:r>
        <w:rPr>
          <w:rFonts w:hint="eastAsia" w:ascii="宋体" w:hAnsi="宋体" w:eastAsia="宋体" w:cs="宋体"/>
          <w:color w:val="auto"/>
          <w:sz w:val="24"/>
          <w:szCs w:val="24"/>
          <w:highlight w:val="none"/>
        </w:rPr>
        <w:t>；F</w:t>
      </w:r>
      <w:r>
        <w:rPr>
          <w:rFonts w:hint="eastAsia" w:ascii="宋体" w:hAnsi="宋体" w:eastAsia="宋体" w:cs="宋体"/>
          <w:color w:val="auto"/>
          <w:sz w:val="24"/>
          <w:szCs w:val="24"/>
          <w:highlight w:val="none"/>
          <w:vertAlign w:val="subscript"/>
        </w:rPr>
        <w:t>t2</w:t>
      </w:r>
      <w:r>
        <w:rPr>
          <w:rFonts w:hint="eastAsia" w:ascii="宋体" w:hAnsi="宋体" w:eastAsia="宋体" w:cs="宋体"/>
          <w:color w:val="auto"/>
          <w:sz w:val="24"/>
          <w:szCs w:val="24"/>
          <w:highlight w:val="none"/>
        </w:rPr>
        <w:t>；F</w:t>
      </w:r>
      <w:r>
        <w:rPr>
          <w:rFonts w:hint="eastAsia" w:ascii="宋体" w:hAnsi="宋体" w:eastAsia="宋体" w:cs="宋体"/>
          <w:color w:val="auto"/>
          <w:sz w:val="24"/>
          <w:szCs w:val="24"/>
          <w:highlight w:val="none"/>
          <w:vertAlign w:val="subscript"/>
        </w:rPr>
        <w:t>t3</w:t>
      </w:r>
      <w:r>
        <w:rPr>
          <w:rFonts w:hint="eastAsia" w:ascii="宋体" w:hAnsi="宋体" w:eastAsia="宋体" w:cs="宋体"/>
          <w:color w:val="auto"/>
          <w:sz w:val="24"/>
          <w:szCs w:val="24"/>
          <w:highlight w:val="none"/>
        </w:rPr>
        <w:t>；……F</w:t>
      </w:r>
      <w:r>
        <w:rPr>
          <w:rFonts w:hint="eastAsia" w:ascii="宋体" w:hAnsi="宋体" w:eastAsia="宋体" w:cs="宋体"/>
          <w:color w:val="auto"/>
          <w:sz w:val="24"/>
          <w:szCs w:val="24"/>
          <w:highlight w:val="none"/>
          <w:vertAlign w:val="subscript"/>
        </w:rPr>
        <w:t>tn</w:t>
      </w:r>
      <w:r>
        <w:rPr>
          <w:rFonts w:hint="eastAsia" w:ascii="宋体" w:hAnsi="宋体" w:eastAsia="宋体" w:cs="宋体"/>
          <w:color w:val="auto"/>
          <w:sz w:val="24"/>
          <w:szCs w:val="24"/>
          <w:highlight w:val="none"/>
        </w:rPr>
        <w:t>---各可调因子的现行价格指数，指第17.3.3款、第17.5.2款和第17.6.2款约定的付款证书相关周期最后一天的前42天的各可调因子的价格指数；</w:t>
      </w:r>
    </w:p>
    <w:p w14:paraId="49296D49">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F</w:t>
      </w:r>
      <w:r>
        <w:rPr>
          <w:rFonts w:hint="eastAsia" w:ascii="宋体" w:hAnsi="宋体" w:eastAsia="宋体" w:cs="宋体"/>
          <w:color w:val="auto"/>
          <w:sz w:val="24"/>
          <w:szCs w:val="24"/>
          <w:highlight w:val="none"/>
          <w:vertAlign w:val="subscript"/>
        </w:rPr>
        <w:t>01</w:t>
      </w:r>
      <w:r>
        <w:rPr>
          <w:rFonts w:hint="eastAsia" w:ascii="宋体" w:hAnsi="宋体" w:eastAsia="宋体" w:cs="宋体"/>
          <w:color w:val="auto"/>
          <w:sz w:val="24"/>
          <w:szCs w:val="24"/>
          <w:highlight w:val="none"/>
        </w:rPr>
        <w:t>；F</w:t>
      </w:r>
      <w:r>
        <w:rPr>
          <w:rFonts w:hint="eastAsia" w:ascii="宋体" w:hAnsi="宋体" w:eastAsia="宋体" w:cs="宋体"/>
          <w:color w:val="auto"/>
          <w:sz w:val="24"/>
          <w:szCs w:val="24"/>
          <w:highlight w:val="none"/>
          <w:vertAlign w:val="subscript"/>
        </w:rPr>
        <w:t>02</w:t>
      </w:r>
      <w:r>
        <w:rPr>
          <w:rFonts w:hint="eastAsia" w:ascii="宋体" w:hAnsi="宋体" w:eastAsia="宋体" w:cs="宋体"/>
          <w:color w:val="auto"/>
          <w:sz w:val="24"/>
          <w:szCs w:val="24"/>
          <w:highlight w:val="none"/>
        </w:rPr>
        <w:t>；F</w:t>
      </w:r>
      <w:r>
        <w:rPr>
          <w:rFonts w:hint="eastAsia" w:ascii="宋体" w:hAnsi="宋体" w:eastAsia="宋体" w:cs="宋体"/>
          <w:color w:val="auto"/>
          <w:sz w:val="24"/>
          <w:szCs w:val="24"/>
          <w:highlight w:val="none"/>
          <w:vertAlign w:val="subscript"/>
        </w:rPr>
        <w:t>03</w:t>
      </w:r>
      <w:r>
        <w:rPr>
          <w:rFonts w:hint="eastAsia" w:ascii="宋体" w:hAnsi="宋体" w:eastAsia="宋体" w:cs="宋体"/>
          <w:color w:val="auto"/>
          <w:sz w:val="24"/>
          <w:szCs w:val="24"/>
          <w:highlight w:val="none"/>
        </w:rPr>
        <w:t>；……F</w:t>
      </w:r>
      <w:r>
        <w:rPr>
          <w:rFonts w:hint="eastAsia" w:ascii="宋体" w:hAnsi="宋体" w:eastAsia="宋体" w:cs="宋体"/>
          <w:color w:val="auto"/>
          <w:sz w:val="24"/>
          <w:szCs w:val="24"/>
          <w:highlight w:val="none"/>
          <w:vertAlign w:val="subscript"/>
        </w:rPr>
        <w:t>0n</w:t>
      </w:r>
      <w:r>
        <w:rPr>
          <w:rFonts w:hint="eastAsia" w:ascii="宋体" w:hAnsi="宋体" w:eastAsia="宋体" w:cs="宋体"/>
          <w:color w:val="auto"/>
          <w:sz w:val="24"/>
          <w:szCs w:val="24"/>
          <w:highlight w:val="none"/>
        </w:rPr>
        <w:t>---各可调因子的基本价格指数，指基准日期的各可调因子的价格指数。</w:t>
      </w:r>
    </w:p>
    <w:p w14:paraId="6509E1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14A0302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16.1.1.2暂时确定调整差额</w:t>
      </w:r>
    </w:p>
    <w:p w14:paraId="65FAF3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在计算调整差额时得不到现行价格指数的，可暂用上一次价格指数计算，并在以后的付款中再按实际价格指数进行调整。</w:t>
      </w:r>
    </w:p>
    <w:p w14:paraId="0C1F7A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16.1.1.3权重的调整</w:t>
      </w:r>
    </w:p>
    <w:p w14:paraId="15B194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按第15.1款约定的变更导致原定合同中的权重不合理时，由监理人与承包人和发包人协商后进行调整。</w:t>
      </w:r>
    </w:p>
    <w:p w14:paraId="0FACC62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16.1.1.4承包人工期延误后的价格调整</w:t>
      </w:r>
    </w:p>
    <w:p w14:paraId="177B33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由于承包人原因未在约定的工期内竣工的，则对原约定竣工日期后继续施工的工程，在使用第16.1.1.1目价格调整公式时，应采用原约定竣工日期与实际竣工日期的两个价格指数中较低的一个作为现行价格指数。</w:t>
      </w:r>
    </w:p>
    <w:p w14:paraId="624A91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16.1.2采用造价信息调整价格差额</w:t>
      </w:r>
    </w:p>
    <w:p w14:paraId="5E49A5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6DDA27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工程造价信息的来源以及价格调整的项目和系数在专用合同条款中约定。</w:t>
      </w:r>
    </w:p>
    <w:p w14:paraId="398BC021">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16.2法律变化引起的价格调整</w:t>
      </w:r>
    </w:p>
    <w:p w14:paraId="4DBDDAC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在基准日后，因法律变化导致承包人在合同履行中所需要的工程费用发生除第16.1款约定以外的增减时，监理人应根据法律、国家或省、自治区、直辖市有关部门的规定，按第3.5款商定或确定需调整的合同价款。</w:t>
      </w:r>
    </w:p>
    <w:p w14:paraId="7A0ACD4B">
      <w:pPr>
        <w:pStyle w:val="5"/>
        <w:rPr>
          <w:rFonts w:hint="eastAsia" w:ascii="宋体" w:hAnsi="宋体" w:eastAsia="宋体" w:cs="宋体"/>
          <w:color w:val="auto"/>
          <w:sz w:val="24"/>
          <w:szCs w:val="24"/>
          <w:highlight w:val="none"/>
        </w:rPr>
      </w:pPr>
      <w:bookmarkStart w:id="16" w:name="_Toc265408506"/>
      <w:r>
        <w:rPr>
          <w:rFonts w:hint="eastAsia" w:ascii="宋体" w:hAnsi="宋体" w:eastAsia="宋体" w:cs="宋体"/>
          <w:color w:val="auto"/>
          <w:sz w:val="24"/>
          <w:szCs w:val="24"/>
          <w:highlight w:val="none"/>
        </w:rPr>
        <w:t>17计量与支付</w:t>
      </w:r>
      <w:bookmarkEnd w:id="16"/>
    </w:p>
    <w:p w14:paraId="170F2C52">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17.1计量</w:t>
      </w:r>
    </w:p>
    <w:p w14:paraId="61CE09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17.1.1计量单位</w:t>
      </w:r>
    </w:p>
    <w:p w14:paraId="67DA1D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计量采用国家法定的计量单位。</w:t>
      </w:r>
    </w:p>
    <w:p w14:paraId="2F03674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17.1.2计量方法</w:t>
      </w:r>
    </w:p>
    <w:p w14:paraId="4C4BD6E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结算工程量应按工程量清单中约定的方法计量。</w:t>
      </w:r>
    </w:p>
    <w:p w14:paraId="304ED72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17.1.3计量周期</w:t>
      </w:r>
    </w:p>
    <w:p w14:paraId="21A649B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除专用合同条款另有约定外，单价子目已完成工程量按月计量，总价子目的计量周期按批准的支付分解报告确定。</w:t>
      </w:r>
    </w:p>
    <w:p w14:paraId="0B3A314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17.1.4单价子目的计量</w:t>
      </w:r>
    </w:p>
    <w:p w14:paraId="6DE6432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（l）已标价工程量清单中的单价子目工程量为估算工程量。结算工程量是承包人实际完成的，并按合同约定的计量方法进行计量的工程量。</w:t>
      </w:r>
    </w:p>
    <w:p w14:paraId="3B00130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（2）承包人对己完成的工程进行计量，向监理人提交进度付款申请单、己完成工程量报表和有关计量资料。</w:t>
      </w:r>
    </w:p>
    <w:p w14:paraId="3AEA27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14:paraId="5774F8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（4）监理人认为有必要时，可通知承包人共同进行联合测量、计量，承包人应遵照执行。</w:t>
      </w:r>
    </w:p>
    <w:p w14:paraId="50301F2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14:paraId="7E681F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（6）监理人应在收到承包人提交的工程量报表后的7天内进行复核，监理人未在约定时间内复核的，承包人提交的工程量报表中的工程量视为承包人实际完成的工程量，据此计算工程价款。</w:t>
      </w:r>
    </w:p>
    <w:p w14:paraId="4A7AE5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17.1.5总价子目的计量</w:t>
      </w:r>
    </w:p>
    <w:p w14:paraId="7DCAE33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总价子目的分解和计量按照下述约定进行。</w:t>
      </w:r>
    </w:p>
    <w:p w14:paraId="6FAB9E7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（1）总价子目的计量和支付应以总价为基础，不因第16.1款中的因素而进行调整。承包人实际完成的工程量，是进行工程目标管理和控制进度支付的依据。</w:t>
      </w:r>
    </w:p>
    <w:p w14:paraId="04610DC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14:paraId="20CC94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（3）监理人对承包人提交的上述资料进行复核，以确定分阶段实际完成的工程量和工程形象目标。对其有异议的，可要求承包人按第8.2款约定进行共同复核和抽样复测。</w:t>
      </w:r>
    </w:p>
    <w:p w14:paraId="2CFA17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（4）除按照第15条约定的变更外，总价子目的工程量是承包人用于结算的最终工程量。</w:t>
      </w:r>
    </w:p>
    <w:p w14:paraId="10F5C128">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17.2预付款</w:t>
      </w:r>
    </w:p>
    <w:p w14:paraId="5BAC36E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17.2.1预付款</w:t>
      </w:r>
    </w:p>
    <w:p w14:paraId="0F5D0BA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1F23538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17.2.2预付款保函（担保）</w:t>
      </w:r>
    </w:p>
    <w:p w14:paraId="7EE335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（１）承包人应在收到第一次工程预付款的同时向发包人提交工程预付款担保，担保金额应与第一次工程预付款金额相同，工程预付款担保在第一次工程预付款被发包人扣回前一直有效。</w:t>
      </w:r>
    </w:p>
    <w:p w14:paraId="225E37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（２）工程材料预付款的担保在专用合同条款中约定。</w:t>
      </w:r>
    </w:p>
    <w:p w14:paraId="3FDC63E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（３）预付款担保的担保金额可根据预付款扣回的金额相应递减。</w:t>
      </w:r>
    </w:p>
    <w:p w14:paraId="1478325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17.2.3预付款的扣回与还清</w:t>
      </w:r>
    </w:p>
    <w:p w14:paraId="26C3013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1D28CC7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17.3工程进度付款</w:t>
      </w:r>
    </w:p>
    <w:p w14:paraId="3BD6404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17.3.1付款周期</w:t>
      </w:r>
    </w:p>
    <w:p w14:paraId="48BBA8C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付款周期同计量周期。</w:t>
      </w:r>
    </w:p>
    <w:p w14:paraId="73267B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17.3.2进度付款申请单</w:t>
      </w:r>
    </w:p>
    <w:p w14:paraId="725339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3D0F229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（l）截至本次付款周期末己实施工程的价款；</w:t>
      </w:r>
    </w:p>
    <w:p w14:paraId="5FA320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（2）根据第15条应增加和扣减的变更金额；</w:t>
      </w:r>
    </w:p>
    <w:p w14:paraId="6165FD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（3）根据第23条应增加和扣减的索赔金额；</w:t>
      </w:r>
    </w:p>
    <w:p w14:paraId="1B10BFB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（4）根据第17.2款约定应支付的预付款和扣减的返还预付款；</w:t>
      </w:r>
    </w:p>
    <w:p w14:paraId="3BE307F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（5）根据第17.4.1款约定应扣减的质量保证金；</w:t>
      </w:r>
    </w:p>
    <w:p w14:paraId="7E7BE87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（6）根据合同应增加和扣减的其他金额。</w:t>
      </w:r>
    </w:p>
    <w:p w14:paraId="13A981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17.3.3进度付款证书和支付时间</w:t>
      </w:r>
    </w:p>
    <w:p w14:paraId="5D34AE6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55139C0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（2）发包人应在监理人收到进度付款中请单后的28天内，将进度应付款支付给承包人。发包人不按期支付的，按专用合同条款的约定支付逾期付款违约金。</w:t>
      </w:r>
    </w:p>
    <w:p w14:paraId="56A1D0A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（3）监理人出具进度付款证书，不应视为监理人己同意、批准或接受了承包人完成的该部分工作。</w:t>
      </w:r>
    </w:p>
    <w:p w14:paraId="64D0C87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（4）进度付款涉及政府投资资金的，按照国库集中支付等国家相关规定和专用合同条款的约定办理。</w:t>
      </w:r>
    </w:p>
    <w:p w14:paraId="71B21AA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17.3.4工程进度付款的修正</w:t>
      </w:r>
    </w:p>
    <w:p w14:paraId="52E0471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在对以往历次已签发的进度付款证书进行汇总和复核中发现错、漏或重复的，监理人有权予以修正，承包人也有权提出修正申请。经双方复核同意的修正，应在本次进度付款中支付或扣除。</w:t>
      </w:r>
    </w:p>
    <w:p w14:paraId="6868BCBB">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17.4质量保证金</w:t>
      </w:r>
    </w:p>
    <w:p w14:paraId="180C03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17.4.1监理人应从第一个工程进度付款周期开始，在发包人的进度付款中，按专用合同条款的约定扣留质量保证金，直至扣留的质量保证金总额达到专用合同条款约定的金额或比例为止。质量保证金的计算额度不包括预付款的支付与扣回金额。</w:t>
      </w:r>
    </w:p>
    <w:p w14:paraId="303B9E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17.4.2合同工程完工证书颁发后14天内，发包人将质量保证金总额的一半支付给承包人。在第1.1.4.5目约定的缺陷责任期（工程质量保修期）满时，发包人将在30个工作日内会同承包人按照合同约定的内容核实承包人是否完成保修责任。如无异议，发包人应当在核实后将剩余的质量保证金支付给承包人。</w:t>
      </w:r>
    </w:p>
    <w:p w14:paraId="303B41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17.4.3在第1.1.4.5目约定的缺陷责任期满时，承包人没有完成缺陷责任的，发包人有权扣留与未履行责任剩余工作所需金额相应的质量保证金余额，并有权根据第19.3款约定要求延长缺陷责任期，直至完成剩余工作为止。</w:t>
      </w:r>
    </w:p>
    <w:p w14:paraId="2693F497">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17.5竣工结算（完工结算）</w:t>
      </w:r>
    </w:p>
    <w:p w14:paraId="67C00DF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17.5.1竣工（完工）付款申请单</w:t>
      </w:r>
    </w:p>
    <w:p w14:paraId="381973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7E40CCE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（2）监理人对完工付款申请单有异议的，有权要求承包人进行修正和提供补充资料。经监理人和承包人协商后，由承包人向监理人提交修正后的完工付款申请单。</w:t>
      </w:r>
    </w:p>
    <w:p w14:paraId="1EDA1B2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17.5.2竣工（完工）付款证书及支付时间</w:t>
      </w:r>
    </w:p>
    <w:p w14:paraId="7B9AE1A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2C4CB0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（2）发包人应在监理人出具完工付款证书后的14天内，将应支付款支付给承包人。发包人不按期支付的，按第17.3.3（2）目的约定，将逾期付款违约金支付给承包人。</w:t>
      </w:r>
    </w:p>
    <w:p w14:paraId="7CEEA0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（3）承包人对发包人签认的完工付款证书有异议的，发包人可出具完工付款申请单中承包人已同意部分的临时付款证书。存在争议的部分，按第24条的约定办理。</w:t>
      </w:r>
    </w:p>
    <w:p w14:paraId="11AB352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（4）完工付款涉及政府投资资金的，按第17.3.3（4）目的约定办理。</w:t>
      </w:r>
    </w:p>
    <w:p w14:paraId="4934685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17.6最终结清</w:t>
      </w:r>
    </w:p>
    <w:p w14:paraId="77DC993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17.6.1最终结清申请单</w:t>
      </w:r>
    </w:p>
    <w:p w14:paraId="4078E4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（1）工程质量保修责任终止证书签发后，承包人应按监理人批准的格式提交最终结清申请单。提交最终结清申请单的份数在专用合同条款中约定。</w:t>
      </w:r>
    </w:p>
    <w:p w14:paraId="3FC5D4E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（2）发包人对最终结清申请单内容有异议的，有权要求承包人进行修正和提供补充资料，由承包人向监理人提交修正后的最终结清申请单。</w:t>
      </w:r>
    </w:p>
    <w:p w14:paraId="1A1A9D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17.6.2最终结清证书和支付时间</w:t>
      </w:r>
    </w:p>
    <w:p w14:paraId="55ED290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己经监理人核查同意；发包人未在约定时间内审核又未提出具体意见的，监理人提出应支付给承包人的价款视为已经发包人同意。</w:t>
      </w:r>
    </w:p>
    <w:p w14:paraId="7B4E9E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（2）发包人应在监理人出具最终结清证书后的14天内，将应支付款支付给承包人。</w:t>
      </w:r>
    </w:p>
    <w:p w14:paraId="75A8F6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发包人不按期支付的，按第17.3.3（2）目的约定，将逾期付款违约金支付给承包人。</w:t>
      </w:r>
    </w:p>
    <w:p w14:paraId="1C523C8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（3）承包人对发包人签认的最终结清证书有异议的，按第24条的约定办理。</w:t>
      </w:r>
    </w:p>
    <w:p w14:paraId="7271355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（4）最终结清付款涉及政府投资资金的，按第17.3.3（4）目的约定办理。</w:t>
      </w:r>
    </w:p>
    <w:p w14:paraId="08B472C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17.7竣工财务决算</w:t>
      </w:r>
    </w:p>
    <w:p w14:paraId="3695E3C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发包人负责编制本工程项目竣工财务决算，承包人应按专用合同条款的约定提供竣工财务决算编制所需的相关材料。</w:t>
      </w:r>
    </w:p>
    <w:p w14:paraId="03EDDF1C">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17.8竣工审计</w:t>
      </w:r>
    </w:p>
    <w:p w14:paraId="77EBDCB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发包人负责完成本工程竣工审计手续，承包人应完成相关配合工作。</w:t>
      </w:r>
    </w:p>
    <w:p w14:paraId="64FAD8E4">
      <w:pPr>
        <w:pStyle w:val="5"/>
        <w:rPr>
          <w:rFonts w:hint="eastAsia" w:ascii="宋体" w:hAnsi="宋体" w:eastAsia="宋体" w:cs="宋体"/>
          <w:color w:val="auto"/>
          <w:sz w:val="24"/>
          <w:szCs w:val="24"/>
          <w:highlight w:val="none"/>
        </w:rPr>
      </w:pPr>
      <w:bookmarkStart w:id="17" w:name="_Toc265408507"/>
      <w:r>
        <w:rPr>
          <w:rFonts w:hint="eastAsia" w:ascii="宋体" w:hAnsi="宋体" w:eastAsia="宋体" w:cs="宋体"/>
          <w:color w:val="auto"/>
          <w:sz w:val="24"/>
          <w:szCs w:val="24"/>
          <w:highlight w:val="none"/>
        </w:rPr>
        <w:t>18竣工验收（验收）</w:t>
      </w:r>
      <w:bookmarkEnd w:id="17"/>
    </w:p>
    <w:p w14:paraId="58F51961">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18.1验收工作分类</w:t>
      </w:r>
    </w:p>
    <w:p w14:paraId="589702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5E7D2DF9">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18.2分部工程验收</w:t>
      </w:r>
    </w:p>
    <w:p w14:paraId="5B7DB44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18.2.1分部工程具备验收条件时，承包人应向发包人提交验收申请报告，发包人应在收到验收申请报告之日起１０个工作日内决定是否同意进行验收。</w:t>
      </w:r>
    </w:p>
    <w:p w14:paraId="06647D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18.2.2除专用合同条款另有约定外，监理人主持分部工程验收，承包人应派符合条件的代表参加验收工作组。</w:t>
      </w:r>
    </w:p>
    <w:p w14:paraId="73F3FF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18.2.3分部工程验收通过后，发包人向承包人发送分部工程验收鉴定书。承包人应及时完成分部工程验收鉴定书载明应由承包人处理的遗留问题。</w:t>
      </w:r>
    </w:p>
    <w:p w14:paraId="3E2CD79B">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18.3单位工程验收</w:t>
      </w:r>
    </w:p>
    <w:p w14:paraId="5004F4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18.3.1单位工程具备验收条件时，承包人应向发包人提交验收申请报告，发包人应在收到验收申请报告之日起10个工作日内决定是否同意进行验收。</w:t>
      </w:r>
    </w:p>
    <w:p w14:paraId="01881D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18.3.2发包人主持单位工程验收，承包人应派符合条件的代表参加验收工作组。</w:t>
      </w:r>
    </w:p>
    <w:p w14:paraId="239DE2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18.3.3单位工程验收通过后，发包人向承包人发送单位工程验收鉴定书。承包人应及时完成单位工程验收鉴定书载明应由承包人处理的遗留问题。</w:t>
      </w:r>
    </w:p>
    <w:p w14:paraId="2081349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18.3.4需提前投入使用的单位工程在专用合同条款中明确。</w:t>
      </w:r>
    </w:p>
    <w:p w14:paraId="53153263">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18.4合同工程完工验收</w:t>
      </w:r>
    </w:p>
    <w:p w14:paraId="2BA2A1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18.4.1合同工程具备验收条件时，承包人应向发包人提交验收申请报告，发包人应在收到验收申请报告之日起20个工作日内决定是否同意进行验收。</w:t>
      </w:r>
    </w:p>
    <w:p w14:paraId="4E990F3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18.4.2发包人主持合同工程完工验收，承包人应派代表参加验收工作组。</w:t>
      </w:r>
    </w:p>
    <w:p w14:paraId="0CADCE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18.4.3合同工程完工验收通过后，发包人向承包人发送合同工程完工验收鉴定书。承包人应及时完成合同工程完工验收鉴定书载明应由承包人处理的遗留问题。</w:t>
      </w:r>
    </w:p>
    <w:p w14:paraId="11A1DBC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18.4.4合同工程完工验收通过后，发包人与承包人应在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14:paraId="21DFA722">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18.5阶段验收</w:t>
      </w:r>
    </w:p>
    <w:p w14:paraId="2FB846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18.5.1工程建设具备阶段验收条件时，发包人负责提出阶段验收申请报告。承包人应派代表参加阶段验收，并作为被验收单位在验收鉴定书上签字。阶段验收的具体类别在专用合同条款中约定。</w:t>
      </w:r>
    </w:p>
    <w:p w14:paraId="54A5F5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18.5.2承包人应及时完成阶段验收鉴定书载明应由承包人处理的遗留问题。</w:t>
      </w:r>
    </w:p>
    <w:p w14:paraId="1644D30D">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18.6专项验收</w:t>
      </w:r>
    </w:p>
    <w:p w14:paraId="0C69F5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18.6.1发包人负责提出专项验收申请报告。承包人应按专项验收的相关规定参加专项验收。专项验收的具体类别在专用合同条款中约定。</w:t>
      </w:r>
    </w:p>
    <w:p w14:paraId="2666F12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18.6.2承包人应及时完成专项验收成果性文件载明应由承包人处理的遗留问题。</w:t>
      </w:r>
    </w:p>
    <w:p w14:paraId="716E31A3">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18.7竣工验收</w:t>
      </w:r>
    </w:p>
    <w:p w14:paraId="0F60BD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18.7.1申请竣工验收前，发包人组织竣工验收自查，承包人应派代表参加。</w:t>
      </w:r>
    </w:p>
    <w:p w14:paraId="2469BFE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18.7.2竣工验收分为竣工技术预验收和竣工验收两个阶段。发包人应通知承包人派代表参加技术预验收和竣工验收。</w:t>
      </w:r>
    </w:p>
    <w:p w14:paraId="3463624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18.7.3专用合同条款约定工程需要进行技术鉴定的，承包人应提交有关资料并完成配合工作。</w:t>
      </w:r>
    </w:p>
    <w:p w14:paraId="4C0C34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18.7.4竣工验收需要进行质量检测的，所需费用由发包人承担，但因承包人原因造成质量不合格的除外。</w:t>
      </w:r>
    </w:p>
    <w:p w14:paraId="4457AA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18.7.5工程质量保修期满以及竣工验收遗留问题和尾工处理完成并通过验收后，发包人负责将处理情况和验收成果报送竣工验收主持单位，申请领取工程竣工证书，并发送承包人。</w:t>
      </w:r>
    </w:p>
    <w:p w14:paraId="20343F0D">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18.8施工期运行</w:t>
      </w:r>
    </w:p>
    <w:p w14:paraId="7EFBF2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18.8.1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363F73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18.8.2在施工期运行中发现工程或工程设备损坏或存在缺陷的，由承包人按第19.2款约定进行修复。</w:t>
      </w:r>
    </w:p>
    <w:p w14:paraId="71D4708E">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18.9试运行</w:t>
      </w:r>
    </w:p>
    <w:p w14:paraId="3059428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18.9.1除专用合同条款另有约定外，承包人应按规定进行工程及工程设备试运行，负责提供试运行所需的人员、器材和必要的条件，并承担全部试运行费用。</w:t>
      </w:r>
    </w:p>
    <w:p w14:paraId="6891C2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18.9.2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74AE2E43">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18.10竣工（完工）清场</w:t>
      </w:r>
    </w:p>
    <w:p w14:paraId="5AB77B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18.10.1工程项目竣工（完工）清场的工作范围和内容在技术标准和要求（合同技术条款）中约定。</w:t>
      </w:r>
    </w:p>
    <w:p w14:paraId="4AFCD5E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18.10.2承包人未按监理人的要求恢复临时占地，或者场地清理未达到合同约定的，发包人有权委托其它人恢复或清理，所发生的金额从拟支付给承包人的款项中扣除。</w:t>
      </w:r>
    </w:p>
    <w:p w14:paraId="04B96D09">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18.11施工队伍的撤离</w:t>
      </w:r>
    </w:p>
    <w:p w14:paraId="05419D40">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合同工程完工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303D3EEB">
      <w:pPr>
        <w:pStyle w:val="5"/>
        <w:rPr>
          <w:rFonts w:hint="eastAsia" w:ascii="宋体" w:hAnsi="宋体" w:eastAsia="宋体" w:cs="宋体"/>
          <w:color w:val="auto"/>
          <w:sz w:val="24"/>
          <w:szCs w:val="24"/>
          <w:highlight w:val="none"/>
        </w:rPr>
      </w:pPr>
      <w:bookmarkStart w:id="18" w:name="_Toc265408508"/>
      <w:r>
        <w:rPr>
          <w:rFonts w:hint="eastAsia" w:ascii="宋体" w:hAnsi="宋体" w:eastAsia="宋体" w:cs="宋体"/>
          <w:color w:val="auto"/>
          <w:sz w:val="24"/>
          <w:szCs w:val="24"/>
          <w:highlight w:val="none"/>
        </w:rPr>
        <w:t>19缺陷责任与保修责任</w:t>
      </w:r>
      <w:bookmarkEnd w:id="18"/>
    </w:p>
    <w:p w14:paraId="5E846915">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19.1缺陷责任期（工程质量保修期）的起算时间</w:t>
      </w:r>
    </w:p>
    <w:p w14:paraId="1EBB014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14:paraId="4F17BE8F">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19.2缺陷责任</w:t>
      </w:r>
    </w:p>
    <w:p w14:paraId="67962C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19.2.1承包人应在缺陷责任期内对己交付使用的工程承担缺陷责任。</w:t>
      </w:r>
    </w:p>
    <w:p w14:paraId="374B840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19.2.2缺陷责任期内，发包人对己接收使用的工程负责日常维护工作。发包人在使用过程中，发现己接收的工程存在新的缺陷或已修复的缺陷部位或部件又遭损坏的，承包人应负责修复，直至检验合格为止。</w:t>
      </w:r>
    </w:p>
    <w:p w14:paraId="66DB1EE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19.2.3监理人和承包人应共同查清缺陷和（或）损坏的原因。经查明属承包人原因造成的，应由承包人承担修复和查验的费用。经查验属发包人原因造成的，发包人应承担修复和查验的费用，并支付承包人合理利润。</w:t>
      </w:r>
    </w:p>
    <w:p w14:paraId="5D6A76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19.2.4承包人不能在合理时间内修复缺陷的，发包人可自行修复或委托其他人修复，所需费用和利润的承担，按第19.2.3款约定办理。</w:t>
      </w:r>
    </w:p>
    <w:p w14:paraId="6EC922C3">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19.3缺陷责任期的延长</w:t>
      </w:r>
    </w:p>
    <w:p w14:paraId="02CE26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由于承包人原因造成某项缺陷或损坏使某项工程或工程设备不能按原定目标使用而需要再次检查、检验和修复的，发包人有权要求承包人相应延长缺陷责任期，但缺陷责任期最长不超过2年。</w:t>
      </w:r>
    </w:p>
    <w:p w14:paraId="2620B544">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19.4进一步试验和试运行</w:t>
      </w:r>
    </w:p>
    <w:p w14:paraId="074DD94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任何一项缺陷或损坏修复后，经检查证明其影响了工程或工程设备的使用性能，承包人应重新进行合同约定的试验和试运行，试验和试运行的全部费用应由责任方承担。</w:t>
      </w:r>
    </w:p>
    <w:p w14:paraId="25744132">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19.5承包人的进入权</w:t>
      </w:r>
    </w:p>
    <w:p w14:paraId="100467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缺陷责任期内承包人为缺陷修复工作需要，有权进入工程现场，但应遵守发包人的保安和保密规定。</w:t>
      </w:r>
    </w:p>
    <w:p w14:paraId="027F33FC">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19.6缺陷责任期终止证书（工程质量保修责任终止证书）</w:t>
      </w:r>
    </w:p>
    <w:p w14:paraId="77A5B74F">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合同工程完工验收或投入使用验收后，发包人与承包人应办理工程交接手续，承包人应向发包人递交工程质量保修书。</w:t>
      </w:r>
    </w:p>
    <w:p w14:paraId="6C3582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缺陷责任期（工程质量保修期）满后30个工作日内，发包人应向承包人颁发工程质量保修责任终止证书，并退还剩余的质量保证金，但保修责任范围内的质量缺陷未处理完成的应除外。</w:t>
      </w:r>
    </w:p>
    <w:p w14:paraId="262AF09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19.7保修责任</w:t>
      </w:r>
    </w:p>
    <w:p w14:paraId="7E2125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3D383444">
      <w:pPr>
        <w:pStyle w:val="5"/>
        <w:rPr>
          <w:rFonts w:hint="eastAsia" w:ascii="宋体" w:hAnsi="宋体" w:eastAsia="宋体" w:cs="宋体"/>
          <w:color w:val="auto"/>
          <w:sz w:val="24"/>
          <w:szCs w:val="24"/>
          <w:highlight w:val="none"/>
        </w:rPr>
      </w:pPr>
      <w:bookmarkStart w:id="19" w:name="_Toc265408509"/>
      <w:r>
        <w:rPr>
          <w:rFonts w:hint="eastAsia" w:ascii="宋体" w:hAnsi="宋体" w:eastAsia="宋体" w:cs="宋体"/>
          <w:color w:val="auto"/>
          <w:sz w:val="24"/>
          <w:szCs w:val="24"/>
          <w:highlight w:val="none"/>
        </w:rPr>
        <w:t>20保险</w:t>
      </w:r>
      <w:bookmarkEnd w:id="19"/>
    </w:p>
    <w:p w14:paraId="288F44A6">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20.1工程保险</w:t>
      </w:r>
    </w:p>
    <w:p w14:paraId="4DFEA4F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50F2EFDC">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20.2人员工伤事故的保险</w:t>
      </w:r>
    </w:p>
    <w:p w14:paraId="2146B4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20.2.1承包人员工伤事故的保险</w:t>
      </w:r>
    </w:p>
    <w:p w14:paraId="239CAB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承包人应依照有关法律规定参加工伤保险，为其履行合同所雇佣的全部人员，缴纳工伤保险费，并要求其分包人也进行此项保险。</w:t>
      </w:r>
    </w:p>
    <w:p w14:paraId="180205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20.2.2发包人员工伤事故的保险</w:t>
      </w:r>
    </w:p>
    <w:p w14:paraId="4F96A5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发包人应依照有关法律规定参加工伤保险，为其现场机构雇佣的全部人员，缴纳工伤保险费，并要求其监理人也进行此项保险。</w:t>
      </w:r>
    </w:p>
    <w:p w14:paraId="77E5F0E1">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20.3人身意外伤害险</w:t>
      </w:r>
    </w:p>
    <w:p w14:paraId="2C37F7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20.3.1发包人应在整个施工期间为其现场机构雇用的全部人员，投保人身意外伤害险，缴纳保险费，并要求其监理人也进行此项保险。</w:t>
      </w:r>
    </w:p>
    <w:p w14:paraId="4F5A12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20.3.2承包人应在整个施工期间为其现场机构雇用的全部人员，投保人身意外伤害险，缴纳保险费，并要求其分包人也进行此项保险。</w:t>
      </w:r>
    </w:p>
    <w:p w14:paraId="72DEFAB8">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20.4第三者责任险</w:t>
      </w:r>
    </w:p>
    <w:p w14:paraId="1919893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20.4.1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1D5C101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20.4.2在缺陷责任期终止证书颁发前，承包人应以承包人和发包人的共同名义，投保第20.4.1款约定的第三者责任险，其保险费率、保险金额等有关内容在专用合同条款中约定。</w:t>
      </w:r>
    </w:p>
    <w:p w14:paraId="5A97CBB4">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20.5其他保险</w:t>
      </w:r>
    </w:p>
    <w:p w14:paraId="0864F5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除专用合同条款另有约定外，承包人应为其施工设备、进场的材料和工程设备等办理保险。</w:t>
      </w:r>
    </w:p>
    <w:p w14:paraId="2B073734">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20.6对各项保险的一般要求</w:t>
      </w:r>
    </w:p>
    <w:p w14:paraId="1B14D1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20.6.1保险凭证</w:t>
      </w:r>
    </w:p>
    <w:p w14:paraId="1B662F1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承包人应在专用合同条款约定的期限内向发包人提交各项保险生效的证据和保险单副本，保险单必须与专用合同条款约定的条件保持一致。</w:t>
      </w:r>
    </w:p>
    <w:p w14:paraId="55106B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20.6.2保险合同条款的变动</w:t>
      </w:r>
    </w:p>
    <w:p w14:paraId="6CD9C5D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承包人需要变动保险合同条款时，应事先征得发包人同意，并通知监理人。保险人作出变动的，承包人应在收到保险人通知后立即通知发包人和监理人。</w:t>
      </w:r>
    </w:p>
    <w:p w14:paraId="6B527C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20.6.3持续保险</w:t>
      </w:r>
    </w:p>
    <w:p w14:paraId="20C5F9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承包人应与保险人保持联系，使保险人能够随时了解工程实施中的变动，并确保按保险合同条款要求持续保险。</w:t>
      </w:r>
    </w:p>
    <w:p w14:paraId="248555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20.6.4保险金不足的补偿</w:t>
      </w:r>
    </w:p>
    <w:p w14:paraId="41804C8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保险金不足以补偿损失时，应由承包人和发包人各自负责补偿的范围和金额在专用合同条款中约定。</w:t>
      </w:r>
    </w:p>
    <w:p w14:paraId="22F4F4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20.6.5未按约定投保的补救</w:t>
      </w:r>
    </w:p>
    <w:p w14:paraId="74B4E70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（l）由于负有投保义务的一方当事人未按合同约定办理保险，或未能使保险持续有效的，另一方当事人可代为办理，所需费用由对方当事人承担。</w:t>
      </w:r>
    </w:p>
    <w:p w14:paraId="3F846A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（2）由于负有投保义务的一方当事人未按合同约定办理某项保险，导致受益人未能得到保险人的赔偿，原应从该项保险得到的保险金应由负有投保义务的一方当事人支付。</w:t>
      </w:r>
    </w:p>
    <w:p w14:paraId="095AAF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20.6.6报告义务</w:t>
      </w:r>
    </w:p>
    <w:p w14:paraId="189658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当保险事故发生时，投保人应按照保险单规定的条件和期限及时向保险人报告。</w:t>
      </w:r>
    </w:p>
    <w:p w14:paraId="4C6C6FDD">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20.7风险责任的转移</w:t>
      </w:r>
    </w:p>
    <w:p w14:paraId="0E44F3C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工程通过合同工程完工验收并移交给发包人后，原由承包人应承担的风险责任，以及保险的责任、权利和义务同时转移给发包人，但承包人在缺陷责任期（工程质量保修期）前造成损失和损坏情形除外。</w:t>
      </w:r>
    </w:p>
    <w:p w14:paraId="30C076A1">
      <w:pPr>
        <w:pStyle w:val="5"/>
        <w:rPr>
          <w:rFonts w:hint="eastAsia" w:ascii="宋体" w:hAnsi="宋体" w:eastAsia="宋体" w:cs="宋体"/>
          <w:color w:val="auto"/>
          <w:sz w:val="24"/>
          <w:szCs w:val="24"/>
          <w:highlight w:val="none"/>
        </w:rPr>
      </w:pPr>
      <w:bookmarkStart w:id="20" w:name="_Toc265408510"/>
      <w:r>
        <w:rPr>
          <w:rFonts w:hint="eastAsia" w:ascii="宋体" w:hAnsi="宋体" w:eastAsia="宋体" w:cs="宋体"/>
          <w:color w:val="auto"/>
          <w:sz w:val="24"/>
          <w:szCs w:val="24"/>
          <w:highlight w:val="none"/>
        </w:rPr>
        <w:t>21不可抗力</w:t>
      </w:r>
      <w:bookmarkEnd w:id="20"/>
    </w:p>
    <w:p w14:paraId="5518823A">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21.1不可抗力的确认</w:t>
      </w:r>
    </w:p>
    <w:p w14:paraId="4A883C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21.1.1不可抗力是指承包人和发包人在订立合同时不可预见，在工程施工过程中不可避免发生并不能克服的自然灾害和社会性突发事件，如地震、海啸、瘟疫、水灾、骚乱、暴动、战争和专用合同条款约定的其他情形。</w:t>
      </w:r>
    </w:p>
    <w:p w14:paraId="66A140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21.1.2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14:paraId="1EE38431">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21.2不可抗力的通知</w:t>
      </w:r>
    </w:p>
    <w:p w14:paraId="66581F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21.2.1合同一方当事人遇到不可抗力事件，使其履行合同义务受到阻碍时，应立即通知合同另一方当事人和监理人，书面说明不可抗力和受阻碍的详细情况，并提供必要的证明。</w:t>
      </w:r>
    </w:p>
    <w:p w14:paraId="10B60A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21.2.2如不可抗力持续发生，合同一方当事人应及时向合同另一方当事人和监理人提交中间报告，说明不可抗力和履行合同受阻的情况，并于不可抗力事件结束后28天内提交最终报告及有关资料。</w:t>
      </w:r>
    </w:p>
    <w:p w14:paraId="19FC722A">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21.3不可抗力后果及其处理</w:t>
      </w:r>
    </w:p>
    <w:p w14:paraId="197889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21.3.1不可抗力造成损害的责任</w:t>
      </w:r>
    </w:p>
    <w:p w14:paraId="519126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除专用合同条款另有约定外，不可抗力导致的人员伤亡、财产损失、费用增加和（或）工期延误等后果，由合同双方按以下原则承担：</w:t>
      </w:r>
    </w:p>
    <w:p w14:paraId="25FE49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（1）永久工程，包括己运至施工场地的材料和工程设备的损害，以及因工程损害造成的第三者人员伤亡和财产损失由发包人承担；</w:t>
      </w:r>
    </w:p>
    <w:p w14:paraId="644B92A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（2）承包人设备的损坏由承包人承担；</w:t>
      </w:r>
    </w:p>
    <w:p w14:paraId="4123C8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（3）发包人和承包人各自承担其人员伤亡和其他财产损失及其相关费用；</w:t>
      </w:r>
    </w:p>
    <w:p w14:paraId="320E145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（4）承包人的停工损失由承包人承担，但停工期间应监理人要求照管工程和清理、修复工程的金额由发包人承担；</w:t>
      </w:r>
    </w:p>
    <w:p w14:paraId="366751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（5）不能按期竣工的，应合理延长工期，承包人不需支付逾期竣工违约金。发包人要求赶工的，承包人应采取赶工措施，赶工费用由发包人承担。</w:t>
      </w:r>
    </w:p>
    <w:p w14:paraId="0F0A98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21.3.2延迟履行期间发生的不可抗力</w:t>
      </w:r>
    </w:p>
    <w:p w14:paraId="4C3A504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合同一方当事人延迟履行，在延迟履行期间发生不可抗力的，不免除其责任。</w:t>
      </w:r>
    </w:p>
    <w:p w14:paraId="1F78A7B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21.3.3避免和减少不可抗力损失</w:t>
      </w:r>
    </w:p>
    <w:p w14:paraId="0D0499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不可抗力发生后，发包人和承包人均应采取措施尽量避免和减少损失的扩大，任何一方没有采取有效措施导致损失扩大的，应对扩大的损失承担责任。</w:t>
      </w:r>
    </w:p>
    <w:p w14:paraId="309D5B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21.3.4因不可抗力解除合同</w:t>
      </w:r>
    </w:p>
    <w:p w14:paraId="15B155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一方当事人因不可抗力不能履行合同的，应当及时通知对方解除合同。合同解除后，承包人应按照第22.2.5款约定撤离施工场地。已经订货的材料、设备由订货方负责退货或解除订货合同，不能退还的货款和因退货、解除订货合同发生的费用，由发包人承担，因未及时退货造成的损失由责任方承担。合同解除后的付款，参照第22.2.4款约定，由监理人按第3.5款商定或确定。</w:t>
      </w:r>
    </w:p>
    <w:p w14:paraId="23C09437">
      <w:pPr>
        <w:pStyle w:val="5"/>
        <w:rPr>
          <w:rFonts w:hint="eastAsia" w:ascii="宋体" w:hAnsi="宋体" w:eastAsia="宋体" w:cs="宋体"/>
          <w:color w:val="auto"/>
          <w:sz w:val="24"/>
          <w:szCs w:val="24"/>
          <w:highlight w:val="none"/>
        </w:rPr>
      </w:pPr>
      <w:bookmarkStart w:id="21" w:name="_Toc265408511"/>
      <w:r>
        <w:rPr>
          <w:rFonts w:hint="eastAsia" w:ascii="宋体" w:hAnsi="宋体" w:eastAsia="宋体" w:cs="宋体"/>
          <w:color w:val="auto"/>
          <w:sz w:val="24"/>
          <w:szCs w:val="24"/>
          <w:highlight w:val="none"/>
        </w:rPr>
        <w:t>22违约</w:t>
      </w:r>
      <w:bookmarkEnd w:id="21"/>
    </w:p>
    <w:p w14:paraId="7F4E36C5">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22.1承包人违约</w:t>
      </w:r>
    </w:p>
    <w:p w14:paraId="2DBD629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22.1.1承包人违约的情形</w:t>
      </w:r>
    </w:p>
    <w:p w14:paraId="171280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在履行合同过程中发生的下列情况属承包人违约：</w:t>
      </w:r>
    </w:p>
    <w:p w14:paraId="1351D8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（1）承包人违反第1.8款或第4.3款的约定，私自将合同的全部或部分权利转让给其他人，或私自将合同的全部或部分义务转移给其他人；</w:t>
      </w:r>
    </w:p>
    <w:p w14:paraId="1EB2A4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（2）承包人违反第5.3款或第6.4款的约定，未经监理人批准，私自将己按合同约定进入施工场地的施工设备、临时设施或材料撤离施工场地；</w:t>
      </w:r>
    </w:p>
    <w:p w14:paraId="7D0323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（3）承包人违反第5.4款的约定使用了不合格材料或工程设备，工程质量达不到标准要求，又拒绝清除不合格工程；</w:t>
      </w:r>
    </w:p>
    <w:p w14:paraId="3B6892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（4）承包人未能按合同进度计划及时完成合同约定的工作，已造成或预期造成工期延误；</w:t>
      </w:r>
    </w:p>
    <w:p w14:paraId="1038A8F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（5）承包人在缺陷责任期（工程质量保修期）内，未能对合同工程完工验收鉴定书所列的缺陷清单的内容或缺陷责任期（工程质量保修期）内发生的缺陷进行修复，而又拒绝按监理人指示再进行修补；</w:t>
      </w:r>
    </w:p>
    <w:p w14:paraId="27458A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（6）承包人无法继续履行或明确表示不履行或实质上己停止履行合同；</w:t>
      </w:r>
    </w:p>
    <w:p w14:paraId="5DEEA6B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（7）承包人不按合同约定履行义务的其他情况。</w:t>
      </w:r>
    </w:p>
    <w:p w14:paraId="3FA8E12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22.1.2对承包人违约的处理</w:t>
      </w:r>
    </w:p>
    <w:p w14:paraId="3BC0AB3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（l）承包人发生第22.1.1（6）目约定的违约情况时，发包人可通知承包人立即解除合同，并按有关法律处理。</w:t>
      </w:r>
    </w:p>
    <w:p w14:paraId="0C0CE91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（2）承包人发生除第22.1.1（6）目约定以外的其他违约情况时，监理人可向承包人发出整改通知，要求其在指定的期限内改正。承包人应承担其违约所引起的费用增加和（或）工期延误。</w:t>
      </w:r>
    </w:p>
    <w:p w14:paraId="58E0A10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（3）经检查证明承包人已采取了有效措施纠正违约行为，具备复工条件的，可由监理人签发复工通知复工。</w:t>
      </w:r>
    </w:p>
    <w:p w14:paraId="2129E26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22.1.3承包人违约解除合同</w:t>
      </w:r>
    </w:p>
    <w:p w14:paraId="60804C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11678AB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22.1.4合同解除后的估价、付款和结清</w:t>
      </w:r>
    </w:p>
    <w:p w14:paraId="6D3111C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（1）合同解除后，监理人按第3.5款商定或确定承包人实际完成工作的价值，以及承包人己提供的材料、施工设备、工程设备和临时工程等的价值。</w:t>
      </w:r>
    </w:p>
    <w:p w14:paraId="0EE51EC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（2）合同解除后，发包人应暂停对承包人的一切付款，查清各项付款和己扣款金额，包括承包人应支付的违约金。</w:t>
      </w:r>
    </w:p>
    <w:p w14:paraId="71A485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（3）合同解除后，发包人应按第23.4款的约定向承包人索赔由于解除合同给发包人造成的损失。</w:t>
      </w:r>
    </w:p>
    <w:p w14:paraId="148E29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（4）合同双方确认上述往来款项后，出具最终结清付款证书，结清全部合同款项。</w:t>
      </w:r>
    </w:p>
    <w:p w14:paraId="217CD1A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（5）发包人和承包人未能就解除合同后的结清达成一致而形成争议的，按第24条的约定办理。</w:t>
      </w:r>
    </w:p>
    <w:p w14:paraId="25A1318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22.1.5协议利益的转让</w:t>
      </w:r>
    </w:p>
    <w:p w14:paraId="2B255D3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因承包人违约解除合同的，发包人有权要求承包人将其为实施合同而签订的材料和设备的订货协议或任何服务协议利益转让给发包人，并在解除合同后的14天内，依法办理转让手续。</w:t>
      </w:r>
    </w:p>
    <w:p w14:paraId="58180DE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22.1.6紧急情况下无能力或不愿进行抢救</w:t>
      </w:r>
    </w:p>
    <w:p w14:paraId="471698B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57D784A3">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22.2发包人违约</w:t>
      </w:r>
    </w:p>
    <w:p w14:paraId="13362D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22.2.1发包人违约的情形</w:t>
      </w:r>
    </w:p>
    <w:p w14:paraId="6DFAF6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在履行合同过程中发生的下列情形，属发包人违约：</w:t>
      </w:r>
    </w:p>
    <w:p w14:paraId="7B3D6C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（l）发包人未能按合同约定支付预付款或合同价款，或拖延、拒绝批准付款申请和支付凭证，导致付款延误的；</w:t>
      </w:r>
    </w:p>
    <w:p w14:paraId="07336B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（2）发包人原因造成停工的；</w:t>
      </w:r>
    </w:p>
    <w:p w14:paraId="501579E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（3）监理人无正当理由没有在约定期限内发出复工指示，导致承包人无法复工的；</w:t>
      </w:r>
    </w:p>
    <w:p w14:paraId="209DBB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（4）发包人无法继续履行或明确表示不履行或实质上已停止履行合同的；</w:t>
      </w:r>
    </w:p>
    <w:p w14:paraId="19933E6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（5）发包人不履行合同约定其他义务的。</w:t>
      </w:r>
    </w:p>
    <w:p w14:paraId="0781BF8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22.2.2承包人有权暂停施工</w:t>
      </w:r>
    </w:p>
    <w:p w14:paraId="6B384AA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6B41834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22.2.3发包人违约解除合同</w:t>
      </w:r>
    </w:p>
    <w:p w14:paraId="7BE688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（1）发生第22.2.1（4）目的违约情况时，承包人可书面通知发包人解除合同。</w:t>
      </w:r>
    </w:p>
    <w:p w14:paraId="1AA558B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（2）承包人按22.2.2款暂停施工28天后，发包人仍不纠正违约行为的，承包人可向发包人发出解除合同通知。但承包人的这一行动不免除发包人承担的违约责任，也不影响承包人根据合同约定享有的索赔权利。</w:t>
      </w:r>
    </w:p>
    <w:p w14:paraId="61447E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22.2.4解除合同后的付款</w:t>
      </w:r>
    </w:p>
    <w:p w14:paraId="5EBFD9B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因发包人违约解除合同的，发包人应在解除合同后28天内向承包人支付下列金额，承包人应在此期限内及时向发包人提交要求支付下列金额的有关资料和凭证：</w:t>
      </w:r>
    </w:p>
    <w:p w14:paraId="6AD41D9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（l）合同解除日以前所完成工作的价款；</w:t>
      </w:r>
    </w:p>
    <w:p w14:paraId="0515F87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（2）承包人为该工程施工订购并己付款的材料、工程设备和其他物品的金额。发包人付还后，该材料、工程设备和其他物品归发包人所有；</w:t>
      </w:r>
    </w:p>
    <w:p w14:paraId="1FE48E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（3）承包人为完成工程所发生的，而发包人未支付的金额；</w:t>
      </w:r>
    </w:p>
    <w:p w14:paraId="53E329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（4）承包人撤离施工场地以及遣散承包人人员的金额；</w:t>
      </w:r>
    </w:p>
    <w:p w14:paraId="4E59D7A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（5）由于解除合同应赔偿的承包人损失；</w:t>
      </w:r>
    </w:p>
    <w:p w14:paraId="6BE746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（6）按合同约定在合同解除日前应支付给承包人的其他金额。</w:t>
      </w:r>
    </w:p>
    <w:p w14:paraId="5CD1272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发包人应按本项约定支付上述金额并退还质量保证金和履约担保，但有权要求承包人支付应偿还给发包人的各项金额。</w:t>
      </w:r>
    </w:p>
    <w:p w14:paraId="014DE7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22.2.5解除合同后的承包人撤离</w:t>
      </w:r>
    </w:p>
    <w:p w14:paraId="70EFA2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违约而解除合同后，承包人应妥善做好已竣工工程和己购材料、设备的保护和移交工作，按发包人要求将承包人设备和人员撤出施工场地。承包人撤出施工场地应遵守第18.7.1款的约定，发包人应为承包人撤出提供必要条件。</w:t>
      </w:r>
    </w:p>
    <w:p w14:paraId="1C5A1CFC">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22.3第三人造成的违约</w:t>
      </w:r>
    </w:p>
    <w:p w14:paraId="19C6F1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在履行合同过程中，一方当事人因第三人的原因造成违约的，应当向对方当事人承担违约责任。一方当事人和第三人之间的纠纷，依照法律规定或者按照约定解决。</w:t>
      </w:r>
    </w:p>
    <w:p w14:paraId="760C20F7">
      <w:pPr>
        <w:pStyle w:val="5"/>
        <w:rPr>
          <w:rFonts w:hint="eastAsia" w:ascii="宋体" w:hAnsi="宋体" w:eastAsia="宋体" w:cs="宋体"/>
          <w:color w:val="auto"/>
          <w:sz w:val="24"/>
          <w:szCs w:val="24"/>
          <w:highlight w:val="none"/>
        </w:rPr>
      </w:pPr>
      <w:bookmarkStart w:id="22" w:name="_Toc265408512"/>
      <w:r>
        <w:rPr>
          <w:rFonts w:hint="eastAsia" w:ascii="宋体" w:hAnsi="宋体" w:eastAsia="宋体" w:cs="宋体"/>
          <w:color w:val="auto"/>
          <w:sz w:val="24"/>
          <w:szCs w:val="24"/>
          <w:highlight w:val="none"/>
        </w:rPr>
        <w:t>23索赔</w:t>
      </w:r>
      <w:bookmarkEnd w:id="22"/>
    </w:p>
    <w:p w14:paraId="43B81A13">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23.1承包人索赔的提出</w:t>
      </w:r>
    </w:p>
    <w:p w14:paraId="092964B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根据合同约定，承包人认为有权得到追加付款和（或）延长工期的，应按以下程序向发包人提出索赔：</w:t>
      </w:r>
    </w:p>
    <w:p w14:paraId="4E14A1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（l）承包人应在知道或应当知道索赔事件发生后28天内，向监理人递交索赔意向通知书，并说明发生索赔事件的事由。承包人未在前述28天内发出索赔意向通知书的，丧失要求追加付款和（或）延长工期的权利：</w:t>
      </w:r>
    </w:p>
    <w:p w14:paraId="4A372C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（2）承包人应在发出索赔意向通知书后28天内，向监理人正式递交索赔通知书。索赔通知书应详细说明索赔理由以及要求追加的付款金额和（或）延长的工期，并附必要的记录和证明材料；</w:t>
      </w:r>
    </w:p>
    <w:p w14:paraId="0571035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（3）索赔事件具有连续影响的，承包人应按合理时间间隔继续递交延续索赔通知，说明连续影响的实际情况和记录，列出累计的追加付款金额和（或）工期延长天数；</w:t>
      </w:r>
    </w:p>
    <w:p w14:paraId="0BD875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（4）在索赔事件影响结束后的28天内，承包人应向监理人递交最终索赔通知书，说明最终要求索赔的追加付款金额和延长的工期，并附必要的记录和证明材料。</w:t>
      </w:r>
    </w:p>
    <w:p w14:paraId="125AE9D6">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23.2承包人索赔处理程序</w:t>
      </w:r>
    </w:p>
    <w:p w14:paraId="5F58E60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（1）监理人收到承包人提交的索赔通知书后，应及时审查索赔通知书的内容、查验承包人的记录和证明材料，必要时监理人可要求承包人提交全部原始记录副本。</w:t>
      </w:r>
    </w:p>
    <w:p w14:paraId="749F82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（2）监理人应按第3.5款商定或确定追加的付款和（或）延长的工期，并在收到上述索赔通知书或有关索赔的进一步证明材料后的42天内，将索赔处理结果答复承包人。</w:t>
      </w:r>
    </w:p>
    <w:p w14:paraId="29DBB7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（3）承包人接受索赔处理结果的，发包人应在作出索赔处理结果答复后28天内完成赔付。承包人不接受索赔处理结果的，按第24条的约定办理。</w:t>
      </w:r>
    </w:p>
    <w:p w14:paraId="5325FF69">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23.3承包人提出索赔的期限</w:t>
      </w:r>
    </w:p>
    <w:p w14:paraId="1183C8F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23.3.1承包人按第17.5款的约定接受了完工付款后，应被认为已无权再提出在合同工程完工证书颁发前所发生的任何索赔。</w:t>
      </w:r>
    </w:p>
    <w:p w14:paraId="55ABB1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23.3.2承包人按第17.6款的约定提交的最终结清申请单中，只限于提出合同工程完工证书颁发后发生的索赔。提出索赔的期限自接受最终结清证书时终止。</w:t>
      </w:r>
    </w:p>
    <w:p w14:paraId="34F4F67C">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23.4发包人的索赔</w:t>
      </w:r>
    </w:p>
    <w:p w14:paraId="12A56D3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23.4.1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14:paraId="3CCB52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23.4.2监理人按第3.5款商定或确定发包人从承包人处得到赔付的金额和（或）缺陷责任期的延长期。承包人应付给发包人的金额可从拟支付给承包人的合同价款中扣除，或由承包人以其他方式支付给发包人。</w:t>
      </w:r>
    </w:p>
    <w:p w14:paraId="1D5016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23.4.3承包人对监理人按第23.4.1发出的索赔书面通知内容持异议时，应在收到书面通知后的14天内，将持有异议的书面报告及其证明材料提交监理人。监理人应在收到承包人书面报告后的14天内，将异议的处理意见通知承包人，并按第23.4.2款的约定执行赔付。若承包人不接受监理人的索赔处理意见，可按本合同第24条规定办理。</w:t>
      </w:r>
    </w:p>
    <w:p w14:paraId="42A2BBBB">
      <w:pPr>
        <w:pStyle w:val="5"/>
        <w:rPr>
          <w:rFonts w:hint="eastAsia" w:ascii="宋体" w:hAnsi="宋体" w:eastAsia="宋体" w:cs="宋体"/>
          <w:color w:val="auto"/>
          <w:sz w:val="24"/>
          <w:szCs w:val="24"/>
          <w:highlight w:val="none"/>
        </w:rPr>
      </w:pPr>
      <w:bookmarkStart w:id="23" w:name="_Toc265408513"/>
      <w:r>
        <w:rPr>
          <w:rFonts w:hint="eastAsia" w:ascii="宋体" w:hAnsi="宋体" w:eastAsia="宋体" w:cs="宋体"/>
          <w:color w:val="auto"/>
          <w:sz w:val="24"/>
          <w:szCs w:val="24"/>
          <w:highlight w:val="none"/>
        </w:rPr>
        <w:t>24争议的解决</w:t>
      </w:r>
      <w:bookmarkEnd w:id="23"/>
    </w:p>
    <w:p w14:paraId="4CDCE1E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24.1争议的解决方式</w:t>
      </w:r>
    </w:p>
    <w:p w14:paraId="71EDDC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0F667C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（l）向约定的仲裁委员会申请仲裁；</w:t>
      </w:r>
    </w:p>
    <w:p w14:paraId="47F5469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（2）向有管辖权的人民法院提起诉讼。</w:t>
      </w:r>
    </w:p>
    <w:p w14:paraId="22AF1AE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24.2友好解决</w:t>
      </w:r>
    </w:p>
    <w:p w14:paraId="7BE7D3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在提请争议评审、仲裁或者诉讼前，以及在争议评审、仲裁或诉讼过程中，发包人和承包人均可共同努力友好协商解决争议。</w:t>
      </w:r>
    </w:p>
    <w:p w14:paraId="38575D4B">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24.3争议评审</w:t>
      </w:r>
    </w:p>
    <w:p w14:paraId="6E2897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24.3.1采用争议评审的，发包人和承包人应在开工日后的28天内或在争议发生后，协商成立争议评审组。争议评审组由有合同管理和工程实践经验的专家组成。</w:t>
      </w:r>
    </w:p>
    <w:p w14:paraId="3EF377B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24.3.2合同双方的争议，应首先由</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向争议评审组提交一份详细的评审申请报告，并附必要的文件、图纸和证明材料，</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还应将上述报告的副本同时提交给被</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和监理人。</w:t>
      </w:r>
    </w:p>
    <w:p w14:paraId="754087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24.3.3被</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在收到</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评审申请报告副本后的28天内，向争议评审组提交一份答辩报告，并附证明材料。被</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应将答辩报告的副本同时提交给</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和监理人。</w:t>
      </w:r>
    </w:p>
    <w:p w14:paraId="3C4EB2B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24.3.4除专用合同条款另有约定外，争议评审组在收到合同双方报告后的14天内，邀请双方代表和有关人员举行调查会，向双方调查争议细节；必要时争议评审组可要求双方进一步提供补充材料。</w:t>
      </w:r>
    </w:p>
    <w:p w14:paraId="6D43FA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24.3.5除专用合同条款另有约定外，在调查会结束后的14天内，争议评审组应在不受任何干扰的情况下进行独立、公正的评审，作出书面评审意见，并说明理由。在争议评审期间，争议双方暂按总监理工程师的确定执行。</w:t>
      </w:r>
    </w:p>
    <w:p w14:paraId="29FB19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24.3.6发包人和承包人接受评审意见的，由监理人根据评审意见拟定执行协议，经争议双方签字后作为合同的补充文件，并遵照执行。</w:t>
      </w:r>
    </w:p>
    <w:p w14:paraId="4CC3B10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24.3.7发包人或承包人不接受评审意见，并要求提交仲裁或提起诉讼的，应在收到评审意见后的14天内将仲裁或起诉意向书面通知另一方，并抄送监理人，但在仲裁或诉讼结束前应暂按总监理工程师的确定执行。</w:t>
      </w:r>
    </w:p>
    <w:p w14:paraId="3C726E66">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24.4仲裁</w:t>
      </w:r>
    </w:p>
    <w:p w14:paraId="72C7FF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24.4.1若合同双方商定直接向仲裁机构申请仲裁，应签订仲裁协议并约定仲裁机构。</w:t>
      </w:r>
    </w:p>
    <w:p w14:paraId="00386A85">
      <w:pPr>
        <w:spacing w:line="360" w:lineRule="auto"/>
        <w:ind w:firstLine="480" w:firstLineChars="200"/>
        <w:rPr>
          <w:rFonts w:hint="eastAsia" w:ascii="宋体" w:hAnsi="宋体" w:eastAsia="宋体" w:cs="宋体"/>
          <w:color w:val="auto"/>
          <w:sz w:val="24"/>
          <w:szCs w:val="24"/>
          <w:highlight w:val="none"/>
        </w:rPr>
        <w:sectPr>
          <w:footerReference r:id="rId5" w:type="default"/>
          <w:pgSz w:w="11906" w:h="16838"/>
          <w:pgMar w:top="1417" w:right="1417" w:bottom="1417" w:left="1417" w:header="851" w:footer="992" w:gutter="0"/>
          <w:pgNumType w:fmt="decimal"/>
          <w:cols w:space="720" w:num="1"/>
          <w:docGrid w:type="lines" w:linePitch="312" w:charSpace="0"/>
        </w:sectPr>
      </w:pPr>
      <w:r>
        <w:rPr>
          <w:rFonts w:hint="eastAsia" w:ascii="宋体" w:hAnsi="宋体" w:eastAsia="宋体" w:cs="宋体"/>
          <w:color w:val="auto"/>
          <w:sz w:val="24"/>
          <w:szCs w:val="24"/>
          <w:highlight w:val="none"/>
        </w:rPr>
        <w:t>24.4.2若合同双方未能达成仲裁协议，则本合同的仲裁条款无效，任一方均有权向人民法院提起诉讼。</w:t>
      </w:r>
    </w:p>
    <w:p w14:paraId="0DF21391">
      <w:pPr>
        <w:pStyle w:val="4"/>
        <w:jc w:val="center"/>
        <w:rPr>
          <w:rFonts w:hint="eastAsia" w:ascii="宋体" w:hAnsi="宋体" w:eastAsia="宋体" w:cs="宋体"/>
          <w:color w:val="auto"/>
          <w:highlight w:val="none"/>
        </w:rPr>
      </w:pPr>
      <w:bookmarkStart w:id="24" w:name="_Toc265408514"/>
      <w:r>
        <w:rPr>
          <w:rFonts w:hint="eastAsia" w:ascii="宋体" w:hAnsi="宋体" w:eastAsia="宋体" w:cs="宋体"/>
          <w:color w:val="auto"/>
          <w:highlight w:val="none"/>
        </w:rPr>
        <w:t>第2</w:t>
      </w:r>
      <w:r>
        <w:rPr>
          <w:rFonts w:hint="eastAsia" w:ascii="宋体" w:hAnsi="宋体" w:eastAsia="宋体" w:cs="宋体"/>
          <w:color w:val="auto"/>
          <w:highlight w:val="none"/>
          <w:lang w:eastAsia="zh-CN"/>
        </w:rPr>
        <w:t>部分</w:t>
      </w:r>
      <w:r>
        <w:rPr>
          <w:rFonts w:hint="eastAsia" w:ascii="宋体" w:hAnsi="宋体" w:eastAsia="宋体" w:cs="宋体"/>
          <w:color w:val="auto"/>
          <w:highlight w:val="none"/>
        </w:rPr>
        <w:t>专用合同条款</w:t>
      </w:r>
      <w:bookmarkEnd w:id="24"/>
    </w:p>
    <w:p w14:paraId="56BBA94F">
      <w:pPr>
        <w:pStyle w:val="5"/>
        <w:spacing w:before="156" w:beforeLines="50" w:after="156" w:afterLines="50"/>
        <w:rPr>
          <w:rFonts w:hint="eastAsia" w:ascii="宋体" w:hAnsi="宋体" w:eastAsia="宋体" w:cs="宋体"/>
          <w:color w:val="auto"/>
          <w:highlight w:val="none"/>
        </w:rPr>
      </w:pPr>
      <w:bookmarkStart w:id="25" w:name="_Toc265408515"/>
      <w:r>
        <w:rPr>
          <w:rFonts w:hint="eastAsia" w:ascii="宋体" w:hAnsi="宋体" w:eastAsia="宋体" w:cs="宋体"/>
          <w:color w:val="auto"/>
          <w:highlight w:val="none"/>
        </w:rPr>
        <w:t>1一般约定</w:t>
      </w:r>
      <w:bookmarkEnd w:id="25"/>
    </w:p>
    <w:p w14:paraId="7EEEACC7">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1.1词语定义</w:t>
      </w:r>
    </w:p>
    <w:p w14:paraId="667122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合同当事人和人员</w:t>
      </w:r>
    </w:p>
    <w:p w14:paraId="0C6A8E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发包人：</w:t>
      </w:r>
      <w:r>
        <w:rPr>
          <w:rFonts w:hint="eastAsia" w:ascii="宋体" w:hAnsi="宋体" w:eastAsia="宋体" w:cs="宋体"/>
          <w:color w:val="auto"/>
          <w:sz w:val="24"/>
          <w:szCs w:val="24"/>
          <w:highlight w:val="none"/>
          <w:u w:val="single"/>
          <w:lang w:eastAsia="zh-CN"/>
        </w:rPr>
        <w:t>周至县广济敬老院</w:t>
      </w:r>
    </w:p>
    <w:p w14:paraId="58914E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承包人：</w:t>
      </w:r>
      <w:r>
        <w:rPr>
          <w:rFonts w:hint="eastAsia" w:ascii="宋体" w:hAnsi="宋体" w:eastAsia="宋体" w:cs="宋体"/>
          <w:color w:val="auto"/>
          <w:sz w:val="24"/>
          <w:szCs w:val="24"/>
          <w:highlight w:val="none"/>
          <w:u w:val="single"/>
        </w:rPr>
        <w:t>　　　（签约后填入承包人的名称）　　　</w:t>
      </w:r>
      <w:r>
        <w:rPr>
          <w:rFonts w:hint="eastAsia" w:ascii="宋体" w:hAnsi="宋体" w:eastAsia="宋体" w:cs="宋体"/>
          <w:color w:val="auto"/>
          <w:sz w:val="24"/>
          <w:szCs w:val="24"/>
          <w:highlight w:val="none"/>
        </w:rPr>
        <w:t>。</w:t>
      </w:r>
    </w:p>
    <w:p w14:paraId="5EFEC4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分包人：</w:t>
      </w:r>
      <w:r>
        <w:rPr>
          <w:rFonts w:hint="eastAsia" w:ascii="宋体" w:hAnsi="宋体" w:eastAsia="宋体" w:cs="宋体"/>
          <w:color w:val="auto"/>
          <w:sz w:val="24"/>
          <w:szCs w:val="24"/>
          <w:highlight w:val="none"/>
          <w:u w:val="single"/>
        </w:rPr>
        <w:t>　　　无　　　</w:t>
      </w:r>
      <w:r>
        <w:rPr>
          <w:rFonts w:hint="eastAsia" w:ascii="宋体" w:hAnsi="宋体" w:eastAsia="宋体" w:cs="宋体"/>
          <w:color w:val="auto"/>
          <w:sz w:val="24"/>
          <w:szCs w:val="24"/>
          <w:highlight w:val="none"/>
        </w:rPr>
        <w:t>。</w:t>
      </w:r>
    </w:p>
    <w:p w14:paraId="4ECA9A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监理人：</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59B379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日期</w:t>
      </w:r>
    </w:p>
    <w:p w14:paraId="050719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缺陷责任期（工程质量保修期）：</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none"/>
        </w:rPr>
        <w:t>。</w:t>
      </w:r>
    </w:p>
    <w:p w14:paraId="4A157C97">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合同文件的优先顺序</w:t>
      </w:r>
    </w:p>
    <w:p w14:paraId="7360CD00">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进入合同文件的各项文件及其优先顺序是：合同协议书、</w:t>
      </w:r>
      <w:r>
        <w:rPr>
          <w:rFonts w:hint="eastAsia" w:ascii="宋体" w:hAnsi="宋体" w:eastAsia="宋体" w:cs="宋体"/>
          <w:color w:val="auto"/>
          <w:sz w:val="24"/>
          <w:szCs w:val="24"/>
          <w:highlight w:val="none"/>
          <w:u w:val="single"/>
          <w:lang w:eastAsia="zh-CN"/>
        </w:rPr>
        <w:t>成交</w:t>
      </w:r>
      <w:r>
        <w:rPr>
          <w:rFonts w:hint="eastAsia" w:ascii="宋体" w:hAnsi="宋体" w:eastAsia="宋体" w:cs="宋体"/>
          <w:color w:val="auto"/>
          <w:sz w:val="24"/>
          <w:szCs w:val="24"/>
          <w:highlight w:val="none"/>
          <w:u w:val="single"/>
        </w:rPr>
        <w:t>通知书、</w:t>
      </w:r>
      <w:r>
        <w:rPr>
          <w:rFonts w:hint="eastAsia" w:ascii="宋体" w:hAnsi="宋体" w:eastAsia="宋体" w:cs="宋体"/>
          <w:color w:val="auto"/>
          <w:sz w:val="24"/>
          <w:szCs w:val="24"/>
          <w:highlight w:val="none"/>
          <w:u w:val="single"/>
          <w:lang w:eastAsia="zh-CN"/>
        </w:rPr>
        <w:t>磋商响应函</w:t>
      </w:r>
      <w:r>
        <w:rPr>
          <w:rFonts w:hint="eastAsia" w:ascii="宋体" w:hAnsi="宋体" w:eastAsia="宋体" w:cs="宋体"/>
          <w:color w:val="auto"/>
          <w:sz w:val="24"/>
          <w:szCs w:val="24"/>
          <w:highlight w:val="none"/>
          <w:u w:val="single"/>
        </w:rPr>
        <w:t>及</w:t>
      </w:r>
      <w:r>
        <w:rPr>
          <w:rFonts w:hint="eastAsia" w:ascii="宋体" w:hAnsi="宋体" w:eastAsia="宋体" w:cs="宋体"/>
          <w:color w:val="auto"/>
          <w:sz w:val="24"/>
          <w:szCs w:val="24"/>
          <w:highlight w:val="none"/>
          <w:u w:val="single"/>
          <w:lang w:eastAsia="zh-CN"/>
        </w:rPr>
        <w:t>磋商报价表</w:t>
      </w:r>
      <w:r>
        <w:rPr>
          <w:rFonts w:hint="eastAsia" w:ascii="宋体" w:hAnsi="宋体" w:eastAsia="宋体" w:cs="宋体"/>
          <w:color w:val="auto"/>
          <w:sz w:val="24"/>
          <w:szCs w:val="24"/>
          <w:highlight w:val="none"/>
          <w:u w:val="single"/>
        </w:rPr>
        <w:t>、专用合同条款、通用合同条款、技术标准和要求、图纸、已标价的工程量清单、其他文件。</w:t>
      </w:r>
    </w:p>
    <w:p w14:paraId="13083CDA">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联络</w:t>
      </w:r>
    </w:p>
    <w:p w14:paraId="252295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来往函件均应按技术标准和要求（合同技术条款）约定的期限送达</w:t>
      </w:r>
      <w:r>
        <w:rPr>
          <w:rFonts w:hint="eastAsia" w:ascii="宋体" w:hAnsi="宋体" w:eastAsia="宋体" w:cs="宋体"/>
          <w:color w:val="auto"/>
          <w:sz w:val="24"/>
          <w:szCs w:val="24"/>
          <w:highlight w:val="none"/>
          <w:u w:val="single"/>
        </w:rPr>
        <w:t>对甲方送达项目现场管理处；对乙方送达该标段项目经理部</w:t>
      </w:r>
      <w:r>
        <w:rPr>
          <w:rFonts w:hint="eastAsia" w:ascii="宋体" w:hAnsi="宋体" w:eastAsia="宋体" w:cs="宋体"/>
          <w:color w:val="auto"/>
          <w:sz w:val="24"/>
          <w:szCs w:val="24"/>
          <w:highlight w:val="none"/>
        </w:rPr>
        <w:t>。</w:t>
      </w:r>
    </w:p>
    <w:p w14:paraId="4AC8DB09">
      <w:pPr>
        <w:pStyle w:val="5"/>
        <w:spacing w:before="156" w:beforeLines="50" w:after="156" w:afterLines="50"/>
        <w:rPr>
          <w:rFonts w:hint="eastAsia" w:ascii="宋体" w:hAnsi="宋体" w:eastAsia="宋体" w:cs="宋体"/>
          <w:color w:val="auto"/>
          <w:highlight w:val="none"/>
        </w:rPr>
      </w:pPr>
      <w:bookmarkStart w:id="26" w:name="_Toc265408516"/>
      <w:r>
        <w:rPr>
          <w:rFonts w:hint="eastAsia" w:ascii="宋体" w:hAnsi="宋体" w:eastAsia="宋体" w:cs="宋体"/>
          <w:color w:val="auto"/>
          <w:highlight w:val="none"/>
        </w:rPr>
        <w:t>2发包人义务</w:t>
      </w:r>
      <w:bookmarkEnd w:id="26"/>
    </w:p>
    <w:p w14:paraId="7E1E688E">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提供施工场地</w:t>
      </w:r>
    </w:p>
    <w:p w14:paraId="2DDE1E7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发包人提供的施工场地范围为：</w:t>
      </w:r>
      <w:r>
        <w:rPr>
          <w:rFonts w:hint="eastAsia" w:ascii="宋体" w:hAnsi="宋体" w:eastAsia="宋体" w:cs="宋体"/>
          <w:color w:val="auto"/>
          <w:sz w:val="24"/>
          <w:szCs w:val="24"/>
          <w:highlight w:val="none"/>
          <w:u w:val="single"/>
        </w:rPr>
        <w:t>施工永久用地由发包人负责，承包人配合协调，范围以满足正常施工永久需要为界；提供施工用地的范围和期限在签署协议书时商定</w:t>
      </w:r>
      <w:r>
        <w:rPr>
          <w:rFonts w:hint="eastAsia" w:ascii="宋体" w:hAnsi="宋体" w:eastAsia="宋体" w:cs="宋体"/>
          <w:color w:val="auto"/>
          <w:sz w:val="24"/>
          <w:szCs w:val="24"/>
          <w:highlight w:val="none"/>
        </w:rPr>
        <w:t>。</w:t>
      </w:r>
    </w:p>
    <w:p w14:paraId="052BF7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承包人自行勘察的施工场地范围为：</w:t>
      </w:r>
      <w:r>
        <w:rPr>
          <w:rFonts w:hint="eastAsia" w:ascii="宋体" w:hAnsi="宋体" w:eastAsia="宋体" w:cs="宋体"/>
          <w:color w:val="auto"/>
          <w:sz w:val="24"/>
          <w:szCs w:val="24"/>
          <w:highlight w:val="none"/>
          <w:u w:val="single"/>
        </w:rPr>
        <w:t>工程永久占地以外的施工临时场地及范围和时限</w:t>
      </w:r>
      <w:r>
        <w:rPr>
          <w:rFonts w:hint="eastAsia" w:ascii="宋体" w:hAnsi="宋体" w:eastAsia="宋体" w:cs="宋体"/>
          <w:color w:val="auto"/>
          <w:sz w:val="24"/>
          <w:szCs w:val="24"/>
          <w:highlight w:val="none"/>
        </w:rPr>
        <w:t>。</w:t>
      </w:r>
    </w:p>
    <w:p w14:paraId="1205C3E5">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其它义务</w:t>
      </w:r>
    </w:p>
    <w:p w14:paraId="61C157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本工程的永久及临时征地的地面附属物的拆迁补偿事宜均由承包人负责办理，费用包涵在相应主体工程量清单报价中。</w:t>
      </w:r>
    </w:p>
    <w:p w14:paraId="6AFFB39B">
      <w:pPr>
        <w:pStyle w:val="5"/>
        <w:spacing w:before="156" w:beforeLines="50" w:after="156" w:afterLines="50"/>
        <w:rPr>
          <w:rFonts w:hint="eastAsia" w:ascii="宋体" w:hAnsi="宋体" w:eastAsia="宋体" w:cs="宋体"/>
          <w:color w:val="auto"/>
          <w:highlight w:val="none"/>
        </w:rPr>
      </w:pPr>
      <w:bookmarkStart w:id="27" w:name="_Toc265408517"/>
      <w:r>
        <w:rPr>
          <w:rFonts w:hint="eastAsia" w:ascii="宋体" w:hAnsi="宋体" w:eastAsia="宋体" w:cs="宋体"/>
          <w:color w:val="auto"/>
          <w:highlight w:val="none"/>
        </w:rPr>
        <w:t>3监理人</w:t>
      </w:r>
      <w:bookmarkEnd w:id="27"/>
    </w:p>
    <w:p w14:paraId="0039254B">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3.1监理人的职责和权力</w:t>
      </w:r>
    </w:p>
    <w:p w14:paraId="619EC6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3.1.1监理人须根据发包人事先批准的权力范围行使权力，发包人批准的权力范围：</w:t>
      </w:r>
    </w:p>
    <w:p w14:paraId="1297E0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）按第4.3款约定，批准工程的分包；</w:t>
      </w:r>
    </w:p>
    <w:p w14:paraId="44BC5E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）按第11.3款约定，确定延长完工期限；</w:t>
      </w:r>
    </w:p>
    <w:p w14:paraId="607EEB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）按第15.6款约定，批准暂列金额的使用；</w:t>
      </w:r>
    </w:p>
    <w:p w14:paraId="5FF9AD4F">
      <w:pPr>
        <w:tabs>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（4）发布开工通知、暂停施工指示或复工通知；</w:t>
      </w:r>
    </w:p>
    <w:p w14:paraId="51220FB5">
      <w:pPr>
        <w:tabs>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（5）当单项工程变更涉及的金额超过签约合同价格的5%或累计变更超过合同签约价2%后发出的变更指令；</w:t>
      </w:r>
    </w:p>
    <w:p w14:paraId="38E0ABCD">
      <w:pPr>
        <w:tabs>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（6）确定承包人提出的索赔金额；确定暂估价金额以及确定变更工作的单价等；</w:t>
      </w:r>
    </w:p>
    <w:p w14:paraId="6464E9A2">
      <w:pPr>
        <w:tabs>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（7）项目监理认为需要业主批准的其它事宜。</w:t>
      </w:r>
    </w:p>
    <w:p w14:paraId="50C465D9">
      <w:pPr>
        <w:tabs>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监理单位行使上述相关权利时应出示已经发包人批准的相关证明。</w:t>
      </w:r>
    </w:p>
    <w:p w14:paraId="685DD2FC">
      <w:pPr>
        <w:pStyle w:val="5"/>
        <w:spacing w:before="156" w:beforeLines="50" w:after="156" w:afterLines="50"/>
        <w:rPr>
          <w:rFonts w:hint="eastAsia" w:ascii="宋体" w:hAnsi="宋体" w:eastAsia="宋体" w:cs="宋体"/>
          <w:color w:val="auto"/>
          <w:highlight w:val="none"/>
        </w:rPr>
      </w:pPr>
      <w:bookmarkStart w:id="28" w:name="_Toc265408518"/>
      <w:r>
        <w:rPr>
          <w:rFonts w:hint="eastAsia" w:ascii="宋体" w:hAnsi="宋体" w:eastAsia="宋体" w:cs="宋体"/>
          <w:color w:val="auto"/>
          <w:highlight w:val="none"/>
        </w:rPr>
        <w:t>4承包人</w:t>
      </w:r>
      <w:bookmarkEnd w:id="28"/>
    </w:p>
    <w:p w14:paraId="5A31CAD6">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4.1承包人的一般义务</w:t>
      </w:r>
    </w:p>
    <w:p w14:paraId="37666F8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4.1.1其它义务：</w:t>
      </w:r>
    </w:p>
    <w:p w14:paraId="26F1665C">
      <w:pPr>
        <w:tabs>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本工程与交通、电力、市政、通讯等的所有交叉工程的协调工作均由承包人负责，协调、补偿等费用均由承包人承担。均已摊入相应有效工程量的工程报价单价内。</w:t>
      </w:r>
    </w:p>
    <w:p w14:paraId="74895C59">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不利物质条件</w:t>
      </w:r>
    </w:p>
    <w:p w14:paraId="3C0CEDF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不利物质条件的范围：</w:t>
      </w:r>
      <w:r>
        <w:rPr>
          <w:rFonts w:hint="eastAsia" w:ascii="宋体" w:hAnsi="宋体" w:eastAsia="宋体" w:cs="宋体"/>
          <w:color w:val="auto"/>
          <w:sz w:val="24"/>
          <w:szCs w:val="24"/>
          <w:highlight w:val="none"/>
          <w:u w:val="single"/>
        </w:rPr>
        <w:t>施工图纸指定范围</w:t>
      </w:r>
      <w:r>
        <w:rPr>
          <w:rFonts w:hint="eastAsia" w:ascii="宋体" w:hAnsi="宋体" w:eastAsia="宋体" w:cs="宋体"/>
          <w:color w:val="auto"/>
          <w:sz w:val="24"/>
          <w:szCs w:val="24"/>
          <w:highlight w:val="none"/>
        </w:rPr>
        <w:t>。</w:t>
      </w:r>
    </w:p>
    <w:p w14:paraId="023232A7">
      <w:pPr>
        <w:pStyle w:val="5"/>
        <w:spacing w:before="156" w:beforeLines="50" w:after="156" w:afterLines="50"/>
        <w:rPr>
          <w:rFonts w:hint="eastAsia" w:ascii="宋体" w:hAnsi="宋体" w:eastAsia="宋体" w:cs="宋体"/>
          <w:color w:val="auto"/>
          <w:highlight w:val="none"/>
        </w:rPr>
      </w:pPr>
      <w:r>
        <w:rPr>
          <w:rFonts w:hint="eastAsia" w:ascii="宋体" w:hAnsi="宋体" w:eastAsia="宋体" w:cs="宋体"/>
          <w:color w:val="auto"/>
          <w:highlight w:val="none"/>
        </w:rPr>
        <w:t>5材料和工程设备</w:t>
      </w:r>
    </w:p>
    <w:p w14:paraId="773E841C">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5.1承包人提供的材料和工程设备</w:t>
      </w:r>
    </w:p>
    <w:p w14:paraId="487E44E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对承包人提供的材料和工程设备，承包人除</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sz w:val="24"/>
          <w:szCs w:val="24"/>
          <w:highlight w:val="none"/>
        </w:rPr>
        <w:t>的约定外，发包人还可以采取以下措施，加强对材料和工程施工的全面质量进行如下控制：</w:t>
      </w:r>
    </w:p>
    <w:p w14:paraId="4648D5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（1）发包人和监理人监督承包人健全其施工全过程的质量自检制度；承包人按监理人的指示，做好材料和工程质量检查的同期纪录；</w:t>
      </w:r>
    </w:p>
    <w:p w14:paraId="38D822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应建立完善的材料和工程质量检查、检验和验收制度，发包人和监理人有权对材料采购进货、运输、存储进行严格检查以及现场施工用材的全过程监控。尤其是工程中所用重要材料在采购前必须通知发包人及监理人，发包人及监理人对其质量及技术要求按照图纸及国家相关规定进行确认，经发包人及监理人确认后方可采购进场；</w:t>
      </w:r>
    </w:p>
    <w:p w14:paraId="4258DDD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（3）承包人负责采购的材料和工程设备，一经与供货人签订供货协议，应将协议副本提交给发包人及监理人，使发包人及监理人及时了解承包人订货情况是否满足工程需要；</w:t>
      </w:r>
    </w:p>
    <w:p w14:paraId="28E0783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承包人提供的材料和工程设备只有经检验合格后才能用于工程施工。依据《建设工程质量管理条例》第37条规定，未经监理工程师签字，建筑材料、建筑构配件和设备不得在工程上使用或者安装，施工单位不得进行下一道工序的施工。</w:t>
      </w:r>
    </w:p>
    <w:p w14:paraId="45568A48">
      <w:pPr>
        <w:pStyle w:val="5"/>
        <w:snapToGrid w:val="0"/>
        <w:spacing w:line="360" w:lineRule="auto"/>
        <w:rPr>
          <w:rFonts w:hint="eastAsia" w:ascii="宋体" w:hAnsi="宋体" w:eastAsia="宋体" w:cs="宋体"/>
          <w:color w:val="auto"/>
          <w:highlight w:val="none"/>
        </w:rPr>
      </w:pPr>
      <w:bookmarkStart w:id="29" w:name="_Toc380056577"/>
      <w:bookmarkStart w:id="30" w:name="_Toc267473071"/>
      <w:bookmarkStart w:id="31" w:name="_Toc265657498"/>
      <w:bookmarkStart w:id="32" w:name="_Toc307485241"/>
      <w:bookmarkStart w:id="33" w:name="_Toc263370625"/>
      <w:bookmarkStart w:id="34" w:name="_Toc285028966"/>
      <w:bookmarkStart w:id="35" w:name="_Toc379892801"/>
      <w:bookmarkStart w:id="36" w:name="_Toc307417474"/>
      <w:bookmarkStart w:id="37" w:name="_Toc307416177"/>
      <w:r>
        <w:rPr>
          <w:rFonts w:hint="eastAsia" w:ascii="宋体" w:hAnsi="宋体" w:eastAsia="宋体" w:cs="宋体"/>
          <w:color w:val="auto"/>
          <w:highlight w:val="none"/>
        </w:rPr>
        <w:t>6．施工设备和临时设施</w:t>
      </w:r>
      <w:bookmarkEnd w:id="29"/>
      <w:bookmarkEnd w:id="30"/>
      <w:bookmarkEnd w:id="31"/>
      <w:bookmarkEnd w:id="32"/>
      <w:bookmarkEnd w:id="33"/>
      <w:bookmarkEnd w:id="34"/>
      <w:bookmarkEnd w:id="35"/>
      <w:bookmarkEnd w:id="36"/>
      <w:bookmarkEnd w:id="37"/>
    </w:p>
    <w:p w14:paraId="49AF87AA">
      <w:pPr>
        <w:snapToGrid w:val="0"/>
        <w:spacing w:line="360" w:lineRule="auto"/>
        <w:jc w:val="left"/>
        <w:rPr>
          <w:rFonts w:hint="eastAsia" w:ascii="宋体" w:hAnsi="宋体" w:eastAsia="宋体" w:cs="宋体"/>
          <w:color w:val="auto"/>
          <w:sz w:val="24"/>
          <w:szCs w:val="24"/>
          <w:highlight w:val="none"/>
        </w:rPr>
      </w:pPr>
      <w:bookmarkStart w:id="38" w:name="_Toc379892802"/>
      <w:r>
        <w:rPr>
          <w:rFonts w:hint="eastAsia" w:ascii="宋体" w:hAnsi="宋体" w:eastAsia="宋体" w:cs="宋体"/>
          <w:color w:val="auto"/>
          <w:sz w:val="24"/>
          <w:szCs w:val="24"/>
          <w:highlight w:val="none"/>
        </w:rPr>
        <w:t>6.1承包人提供的施工设备和临时设施</w:t>
      </w:r>
      <w:bookmarkEnd w:id="38"/>
    </w:p>
    <w:p w14:paraId="61FB4C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承包人应自行承担修建临时设施的费用，需要临时占地的，应由承包人办理申请手续并承担相应费用。</w:t>
      </w:r>
    </w:p>
    <w:p w14:paraId="03D6D68D">
      <w:pPr>
        <w:snapToGrid w:val="0"/>
        <w:spacing w:line="360" w:lineRule="auto"/>
        <w:jc w:val="left"/>
        <w:rPr>
          <w:rFonts w:hint="eastAsia" w:ascii="宋体" w:hAnsi="宋体" w:eastAsia="宋体" w:cs="宋体"/>
          <w:color w:val="auto"/>
          <w:sz w:val="24"/>
          <w:szCs w:val="24"/>
          <w:highlight w:val="none"/>
        </w:rPr>
      </w:pPr>
      <w:bookmarkStart w:id="39" w:name="_Toc285028967"/>
      <w:bookmarkStart w:id="40" w:name="_Toc267473072"/>
      <w:bookmarkStart w:id="41" w:name="_Toc379892803"/>
      <w:bookmarkStart w:id="42" w:name="_Toc265657499"/>
      <w:r>
        <w:rPr>
          <w:rFonts w:hint="eastAsia" w:ascii="宋体" w:hAnsi="宋体" w:eastAsia="宋体" w:cs="宋体"/>
          <w:color w:val="auto"/>
          <w:sz w:val="24"/>
          <w:szCs w:val="24"/>
          <w:highlight w:val="none"/>
        </w:rPr>
        <w:t>6.2发包人提供的施工设备和临时设施</w:t>
      </w:r>
      <w:bookmarkEnd w:id="39"/>
      <w:bookmarkEnd w:id="40"/>
      <w:bookmarkEnd w:id="41"/>
      <w:bookmarkEnd w:id="42"/>
    </w:p>
    <w:p w14:paraId="3BF4928E">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发包人不提供施工设备。</w:t>
      </w:r>
    </w:p>
    <w:p w14:paraId="7A04FF54">
      <w:pPr>
        <w:pStyle w:val="5"/>
        <w:spacing w:before="156" w:beforeLines="50" w:after="156" w:afterLines="50" w:line="360" w:lineRule="auto"/>
        <w:rPr>
          <w:rFonts w:hint="eastAsia" w:ascii="宋体" w:hAnsi="宋体" w:eastAsia="宋体" w:cs="宋体"/>
          <w:color w:val="auto"/>
          <w:highlight w:val="none"/>
        </w:rPr>
      </w:pPr>
      <w:bookmarkStart w:id="43" w:name="_Toc265408521"/>
      <w:r>
        <w:rPr>
          <w:rFonts w:hint="eastAsia" w:ascii="宋体" w:hAnsi="宋体" w:eastAsia="宋体" w:cs="宋体"/>
          <w:color w:val="auto"/>
          <w:highlight w:val="none"/>
        </w:rPr>
        <w:t>7交通运输</w:t>
      </w:r>
      <w:bookmarkEnd w:id="43"/>
    </w:p>
    <w:p w14:paraId="2CEB8ECD">
      <w:pPr>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7.1道路通行权和场外设施</w:t>
      </w:r>
    </w:p>
    <w:p w14:paraId="1835A4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7.1.1</w:t>
      </w:r>
      <w:r>
        <w:rPr>
          <w:rFonts w:hint="eastAsia" w:ascii="宋体" w:hAnsi="宋体" w:eastAsia="宋体" w:cs="宋体"/>
          <w:color w:val="auto"/>
          <w:sz w:val="24"/>
          <w:szCs w:val="24"/>
          <w:highlight w:val="none"/>
        </w:rPr>
        <w:t>取得道路通行权、拆除及修建场外设施权的办理人：承包人。</w:t>
      </w:r>
    </w:p>
    <w:p w14:paraId="545E94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7.1.2</w:t>
      </w:r>
      <w:r>
        <w:rPr>
          <w:rFonts w:hint="eastAsia" w:ascii="宋体" w:hAnsi="宋体" w:eastAsia="宋体" w:cs="宋体"/>
          <w:color w:val="auto"/>
          <w:sz w:val="24"/>
          <w:szCs w:val="24"/>
          <w:highlight w:val="none"/>
        </w:rPr>
        <w:t>相关费用支付：承包人。</w:t>
      </w:r>
    </w:p>
    <w:p w14:paraId="2ABF52E2">
      <w:pPr>
        <w:pStyle w:val="5"/>
        <w:spacing w:before="156" w:beforeLines="50" w:after="156" w:afterLines="50" w:line="360" w:lineRule="auto"/>
        <w:rPr>
          <w:rFonts w:hint="eastAsia" w:ascii="宋体" w:hAnsi="宋体" w:eastAsia="宋体" w:cs="宋体"/>
          <w:color w:val="auto"/>
          <w:highlight w:val="none"/>
        </w:rPr>
      </w:pPr>
      <w:bookmarkStart w:id="44" w:name="_Toc265408522"/>
      <w:r>
        <w:rPr>
          <w:rFonts w:hint="eastAsia" w:ascii="宋体" w:hAnsi="宋体" w:eastAsia="宋体" w:cs="宋体"/>
          <w:color w:val="auto"/>
          <w:highlight w:val="none"/>
        </w:rPr>
        <w:t>8测量放线</w:t>
      </w:r>
      <w:bookmarkEnd w:id="44"/>
    </w:p>
    <w:p w14:paraId="466CE425">
      <w:pPr>
        <w:pStyle w:val="5"/>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8.1施工控制网</w:t>
      </w:r>
    </w:p>
    <w:p w14:paraId="601659C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施工控制网的约定：</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sz w:val="24"/>
          <w:szCs w:val="24"/>
          <w:highlight w:val="none"/>
        </w:rPr>
        <w:t>。</w:t>
      </w:r>
    </w:p>
    <w:p w14:paraId="13641866">
      <w:pPr>
        <w:pStyle w:val="5"/>
        <w:spacing w:before="156" w:beforeLines="50" w:after="156" w:afterLines="50" w:line="360" w:lineRule="auto"/>
        <w:rPr>
          <w:rFonts w:hint="eastAsia" w:ascii="宋体" w:hAnsi="宋体" w:eastAsia="宋体" w:cs="宋体"/>
          <w:color w:val="auto"/>
          <w:highlight w:val="none"/>
        </w:rPr>
      </w:pPr>
      <w:bookmarkStart w:id="45" w:name="_Toc265408523"/>
      <w:r>
        <w:rPr>
          <w:rFonts w:hint="eastAsia" w:ascii="宋体" w:hAnsi="宋体" w:eastAsia="宋体" w:cs="宋体"/>
          <w:color w:val="auto"/>
          <w:highlight w:val="none"/>
        </w:rPr>
        <w:t>9施工安全、治安保卫和环境保护</w:t>
      </w:r>
      <w:bookmarkEnd w:id="45"/>
    </w:p>
    <w:p w14:paraId="24FAD550">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9.1发包人的施工安全责任</w:t>
      </w:r>
    </w:p>
    <w:p w14:paraId="46888C1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w:t>
      </w:r>
      <w:r>
        <w:rPr>
          <w:rFonts w:hint="eastAsia" w:ascii="宋体" w:hAnsi="宋体" w:eastAsia="宋体" w:cs="宋体"/>
          <w:color w:val="auto"/>
          <w:sz w:val="24"/>
          <w:szCs w:val="24"/>
          <w:highlight w:val="none"/>
          <w:u w:val="single"/>
        </w:rPr>
        <w:t>通用条款约定</w:t>
      </w:r>
      <w:r>
        <w:rPr>
          <w:rFonts w:hint="eastAsia" w:ascii="宋体" w:hAnsi="宋体" w:eastAsia="宋体" w:cs="宋体"/>
          <w:color w:val="auto"/>
          <w:sz w:val="24"/>
          <w:szCs w:val="24"/>
          <w:highlight w:val="none"/>
        </w:rPr>
        <w:t>资料，其余资料由承包人负责收集。</w:t>
      </w:r>
    </w:p>
    <w:p w14:paraId="01FDA38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9.2承包人的施工安全责任</w:t>
      </w:r>
    </w:p>
    <w:p w14:paraId="36FDA540">
      <w:pPr>
        <w:spacing w:line="360" w:lineRule="auto"/>
        <w:ind w:firstLine="480" w:firstLineChars="200"/>
        <w:rPr>
          <w:rFonts w:hint="eastAsia" w:ascii="宋体" w:hAnsi="宋体" w:eastAsia="宋体" w:cs="宋体"/>
          <w:i w:val="0"/>
          <w:iCs/>
          <w:color w:val="auto"/>
          <w:sz w:val="24"/>
          <w:szCs w:val="24"/>
          <w:highlight w:val="none"/>
        </w:rPr>
      </w:pPr>
      <w:r>
        <w:rPr>
          <w:rFonts w:hint="eastAsia" w:ascii="宋体" w:hAnsi="宋体" w:eastAsia="宋体" w:cs="宋体"/>
          <w:color w:val="auto"/>
          <w:sz w:val="24"/>
          <w:szCs w:val="24"/>
          <w:highlight w:val="none"/>
        </w:rPr>
        <w:t>下列工程应编制专项施工方案：</w:t>
      </w:r>
      <w:r>
        <w:rPr>
          <w:rFonts w:hint="eastAsia" w:ascii="宋体" w:hAnsi="宋体" w:eastAsia="宋体" w:cs="宋体"/>
          <w:i w:val="0"/>
          <w:iCs/>
          <w:color w:val="auto"/>
          <w:sz w:val="24"/>
          <w:szCs w:val="24"/>
          <w:highlight w:val="none"/>
          <w:u w:val="single"/>
        </w:rPr>
        <w:t>（合同签订时另行约定）</w:t>
      </w:r>
      <w:r>
        <w:rPr>
          <w:rFonts w:hint="eastAsia" w:ascii="宋体" w:hAnsi="宋体" w:eastAsia="宋体" w:cs="宋体"/>
          <w:i w:val="0"/>
          <w:iCs/>
          <w:color w:val="auto"/>
          <w:sz w:val="24"/>
          <w:szCs w:val="24"/>
          <w:highlight w:val="none"/>
        </w:rPr>
        <w:t>。其中</w:t>
      </w:r>
      <w:r>
        <w:rPr>
          <w:rFonts w:hint="eastAsia" w:ascii="宋体" w:hAnsi="宋体" w:eastAsia="宋体" w:cs="宋体"/>
          <w:i w:val="0"/>
          <w:iCs/>
          <w:color w:val="auto"/>
          <w:sz w:val="24"/>
          <w:szCs w:val="24"/>
          <w:highlight w:val="none"/>
          <w:u w:val="single"/>
        </w:rPr>
        <w:t>（合同签订时另行约定）</w:t>
      </w:r>
      <w:r>
        <w:rPr>
          <w:rFonts w:hint="eastAsia" w:ascii="宋体" w:hAnsi="宋体" w:eastAsia="宋体" w:cs="宋体"/>
          <w:i w:val="0"/>
          <w:iCs/>
          <w:color w:val="auto"/>
          <w:sz w:val="24"/>
          <w:szCs w:val="24"/>
          <w:highlight w:val="none"/>
        </w:rPr>
        <w:t>应组织专家论证和审查。</w:t>
      </w:r>
    </w:p>
    <w:p w14:paraId="5545108A">
      <w:pPr>
        <w:jc w:val="left"/>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rPr>
        <w:t>9.</w:t>
      </w:r>
      <w:r>
        <w:rPr>
          <w:rFonts w:hint="eastAsia" w:ascii="宋体" w:hAnsi="宋体" w:eastAsia="宋体" w:cs="宋体"/>
          <w:i w:val="0"/>
          <w:iCs/>
          <w:color w:val="auto"/>
          <w:sz w:val="24"/>
          <w:szCs w:val="24"/>
          <w:highlight w:val="none"/>
          <w:lang w:val="en-US" w:eastAsia="zh-CN"/>
        </w:rPr>
        <w:t>3</w:t>
      </w:r>
      <w:r>
        <w:rPr>
          <w:rFonts w:hint="eastAsia" w:ascii="宋体" w:hAnsi="宋体" w:eastAsia="宋体" w:cs="宋体"/>
          <w:i w:val="0"/>
          <w:iCs/>
          <w:color w:val="auto"/>
          <w:sz w:val="24"/>
          <w:szCs w:val="24"/>
          <w:highlight w:val="none"/>
        </w:rPr>
        <w:t>文明工地</w:t>
      </w:r>
    </w:p>
    <w:p w14:paraId="72054AD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本合同文明工地的约定：</w:t>
      </w:r>
      <w:r>
        <w:rPr>
          <w:rFonts w:hint="eastAsia" w:ascii="宋体" w:hAnsi="宋体" w:eastAsia="宋体" w:cs="宋体"/>
          <w:color w:val="auto"/>
          <w:sz w:val="24"/>
          <w:szCs w:val="24"/>
          <w:highlight w:val="none"/>
          <w:u w:val="single"/>
        </w:rPr>
        <w:t>执行国家和地方标准</w:t>
      </w:r>
      <w:r>
        <w:rPr>
          <w:rFonts w:hint="eastAsia" w:ascii="宋体" w:hAnsi="宋体" w:eastAsia="宋体" w:cs="宋体"/>
          <w:color w:val="auto"/>
          <w:sz w:val="24"/>
          <w:szCs w:val="24"/>
          <w:highlight w:val="none"/>
        </w:rPr>
        <w:t>。</w:t>
      </w:r>
    </w:p>
    <w:p w14:paraId="51FBD3F7">
      <w:pPr>
        <w:pStyle w:val="5"/>
        <w:rPr>
          <w:rFonts w:hint="eastAsia" w:ascii="宋体" w:hAnsi="宋体" w:eastAsia="宋体" w:cs="宋体"/>
          <w:color w:val="auto"/>
          <w:highlight w:val="none"/>
        </w:rPr>
      </w:pPr>
      <w:bookmarkStart w:id="46" w:name="_Toc379892811"/>
      <w:bookmarkStart w:id="47" w:name="_Toc265657502"/>
      <w:bookmarkStart w:id="48" w:name="_Toc285028975"/>
      <w:bookmarkStart w:id="49" w:name="_Toc307416180"/>
      <w:bookmarkStart w:id="50" w:name="_Toc267473080"/>
      <w:bookmarkStart w:id="51" w:name="_Toc263370629"/>
      <w:bookmarkStart w:id="52" w:name="_Toc307485244"/>
      <w:bookmarkStart w:id="53" w:name="_Toc380056581"/>
      <w:bookmarkStart w:id="54" w:name="_Toc307417477"/>
      <w:r>
        <w:rPr>
          <w:rFonts w:hint="eastAsia" w:ascii="宋体" w:hAnsi="宋体" w:eastAsia="宋体" w:cs="宋体"/>
          <w:color w:val="auto"/>
          <w:highlight w:val="none"/>
        </w:rPr>
        <w:t>10．进度计划</w:t>
      </w:r>
      <w:bookmarkEnd w:id="46"/>
      <w:bookmarkEnd w:id="47"/>
      <w:bookmarkEnd w:id="48"/>
      <w:bookmarkEnd w:id="49"/>
      <w:bookmarkEnd w:id="50"/>
      <w:bookmarkEnd w:id="51"/>
      <w:bookmarkEnd w:id="52"/>
      <w:bookmarkEnd w:id="53"/>
      <w:bookmarkEnd w:id="54"/>
    </w:p>
    <w:p w14:paraId="28B863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收到中标通知后7天内承包人应提交本工程详细的进度计划。</w:t>
      </w:r>
    </w:p>
    <w:p w14:paraId="46A588FA">
      <w:pPr>
        <w:pStyle w:val="5"/>
        <w:spacing w:before="156" w:beforeLines="50" w:after="156" w:afterLines="50"/>
        <w:rPr>
          <w:rFonts w:hint="eastAsia" w:ascii="宋体" w:hAnsi="宋体" w:eastAsia="宋体" w:cs="宋体"/>
          <w:color w:val="auto"/>
          <w:highlight w:val="none"/>
        </w:rPr>
      </w:pPr>
      <w:bookmarkStart w:id="55" w:name="_Toc265408524"/>
      <w:r>
        <w:rPr>
          <w:rFonts w:hint="eastAsia" w:ascii="宋体" w:hAnsi="宋体" w:eastAsia="宋体" w:cs="宋体"/>
          <w:color w:val="auto"/>
          <w:highlight w:val="none"/>
        </w:rPr>
        <w:t>11开工和竣工（完工）</w:t>
      </w:r>
      <w:bookmarkEnd w:id="55"/>
    </w:p>
    <w:p w14:paraId="62153E83">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异常恶劣的气候条件</w:t>
      </w:r>
    </w:p>
    <w:p w14:paraId="6BD56E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本合同工程界定异常恶劣气候条件的范围为：</w:t>
      </w:r>
    </w:p>
    <w:p w14:paraId="0B992A6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）日降雨量大于</w:t>
      </w:r>
      <w:r>
        <w:rPr>
          <w:rFonts w:hint="eastAsia" w:ascii="宋体" w:hAnsi="宋体" w:eastAsia="宋体" w:cs="宋体"/>
          <w:color w:val="auto"/>
          <w:sz w:val="24"/>
          <w:szCs w:val="24"/>
          <w:highlight w:val="none"/>
          <w:u w:val="single"/>
        </w:rPr>
        <w:t>50</w:t>
      </w:r>
      <w:r>
        <w:rPr>
          <w:rFonts w:hint="eastAsia" w:ascii="宋体" w:hAnsi="宋体" w:eastAsia="宋体" w:cs="宋体"/>
          <w:color w:val="auto"/>
          <w:sz w:val="24"/>
          <w:szCs w:val="24"/>
          <w:highlight w:val="none"/>
        </w:rPr>
        <w:t>mm的雨日超过</w:t>
      </w:r>
      <w:r>
        <w:rPr>
          <w:rFonts w:hint="eastAsia" w:ascii="宋体" w:hAnsi="宋体" w:eastAsia="宋体" w:cs="宋体"/>
          <w:color w:val="auto"/>
          <w:sz w:val="24"/>
          <w:szCs w:val="24"/>
          <w:highlight w:val="none"/>
          <w:u w:val="single"/>
        </w:rPr>
        <w:t>1</w:t>
      </w:r>
      <w:r>
        <w:rPr>
          <w:rFonts w:hint="eastAsia" w:ascii="宋体" w:hAnsi="宋体" w:eastAsia="宋体" w:cs="宋体"/>
          <w:color w:val="auto"/>
          <w:sz w:val="24"/>
          <w:szCs w:val="24"/>
          <w:highlight w:val="none"/>
        </w:rPr>
        <w:t>天；</w:t>
      </w:r>
    </w:p>
    <w:p w14:paraId="6C9FF28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)风速大于</w:t>
      </w:r>
      <w:r>
        <w:rPr>
          <w:rFonts w:hint="eastAsia" w:ascii="宋体" w:hAnsi="宋体" w:eastAsia="宋体" w:cs="宋体"/>
          <w:color w:val="auto"/>
          <w:sz w:val="24"/>
          <w:szCs w:val="24"/>
          <w:highlight w:val="none"/>
          <w:u w:val="single"/>
        </w:rPr>
        <w:t>11</w:t>
      </w:r>
      <w:r>
        <w:rPr>
          <w:rFonts w:hint="eastAsia" w:ascii="宋体" w:hAnsi="宋体" w:eastAsia="宋体" w:cs="宋体"/>
          <w:color w:val="auto"/>
          <w:sz w:val="24"/>
          <w:szCs w:val="24"/>
          <w:highlight w:val="none"/>
        </w:rPr>
        <w:t>m/s的六级以上大风超过1天；</w:t>
      </w:r>
    </w:p>
    <w:p w14:paraId="1375DF4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）日气温超过</w:t>
      </w:r>
      <w:r>
        <w:rPr>
          <w:rFonts w:hint="eastAsia" w:ascii="宋体" w:hAnsi="宋体" w:eastAsia="宋体" w:cs="宋体"/>
          <w:color w:val="auto"/>
          <w:sz w:val="24"/>
          <w:szCs w:val="24"/>
          <w:highlight w:val="none"/>
          <w:u w:val="single"/>
        </w:rPr>
        <w:t>38</w:t>
      </w:r>
      <w:r>
        <w:rPr>
          <w:rFonts w:hint="eastAsia" w:ascii="宋体" w:hAnsi="宋体" w:eastAsia="宋体" w:cs="宋体"/>
          <w:color w:val="auto"/>
          <w:sz w:val="24"/>
          <w:szCs w:val="24"/>
          <w:highlight w:val="none"/>
        </w:rPr>
        <w:t>℃的高温大于</w:t>
      </w:r>
      <w:r>
        <w:rPr>
          <w:rFonts w:hint="eastAsia" w:ascii="宋体" w:hAnsi="宋体" w:eastAsia="宋体" w:cs="宋体"/>
          <w:color w:val="auto"/>
          <w:sz w:val="24"/>
          <w:szCs w:val="24"/>
          <w:highlight w:val="none"/>
          <w:u w:val="single"/>
        </w:rPr>
        <w:t>3</w:t>
      </w:r>
      <w:r>
        <w:rPr>
          <w:rFonts w:hint="eastAsia" w:ascii="宋体" w:hAnsi="宋体" w:eastAsia="宋体" w:cs="宋体"/>
          <w:color w:val="auto"/>
          <w:sz w:val="24"/>
          <w:szCs w:val="24"/>
          <w:highlight w:val="none"/>
        </w:rPr>
        <w:t>天；</w:t>
      </w:r>
    </w:p>
    <w:p w14:paraId="56BDFF4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）日气温低于</w:t>
      </w:r>
      <w:r>
        <w:rPr>
          <w:rFonts w:hint="eastAsia" w:ascii="宋体" w:hAnsi="宋体" w:eastAsia="宋体" w:cs="宋体"/>
          <w:color w:val="auto"/>
          <w:sz w:val="24"/>
          <w:szCs w:val="24"/>
          <w:highlight w:val="none"/>
          <w:u w:val="single"/>
        </w:rPr>
        <w:t>-20</w:t>
      </w:r>
      <w:r>
        <w:rPr>
          <w:rFonts w:hint="eastAsia" w:ascii="宋体" w:hAnsi="宋体" w:eastAsia="宋体" w:cs="宋体"/>
          <w:color w:val="auto"/>
          <w:sz w:val="24"/>
          <w:szCs w:val="24"/>
          <w:highlight w:val="none"/>
        </w:rPr>
        <w:t>℃的严寒大于</w:t>
      </w:r>
      <w:r>
        <w:rPr>
          <w:rFonts w:hint="eastAsia" w:ascii="宋体" w:hAnsi="宋体" w:eastAsia="宋体" w:cs="宋体"/>
          <w:color w:val="auto"/>
          <w:sz w:val="24"/>
          <w:szCs w:val="24"/>
          <w:highlight w:val="none"/>
          <w:u w:val="single"/>
        </w:rPr>
        <w:t>3</w:t>
      </w:r>
      <w:r>
        <w:rPr>
          <w:rFonts w:hint="eastAsia" w:ascii="宋体" w:hAnsi="宋体" w:eastAsia="宋体" w:cs="宋体"/>
          <w:color w:val="auto"/>
          <w:sz w:val="24"/>
          <w:szCs w:val="24"/>
          <w:highlight w:val="none"/>
        </w:rPr>
        <w:t>天；</w:t>
      </w:r>
    </w:p>
    <w:p w14:paraId="2B09002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）造成工程损坏的冰雹和大雪灾害：</w:t>
      </w:r>
      <w:r>
        <w:rPr>
          <w:rFonts w:hint="eastAsia" w:ascii="宋体" w:hAnsi="宋体" w:eastAsia="宋体" w:cs="宋体"/>
          <w:color w:val="auto"/>
          <w:sz w:val="24"/>
          <w:szCs w:val="24"/>
          <w:highlight w:val="none"/>
          <w:u w:val="single"/>
        </w:rPr>
        <w:t>日降雪量10mm及以上</w:t>
      </w:r>
      <w:r>
        <w:rPr>
          <w:rFonts w:hint="eastAsia" w:ascii="宋体" w:hAnsi="宋体" w:eastAsia="宋体" w:cs="宋体"/>
          <w:color w:val="auto"/>
          <w:sz w:val="24"/>
          <w:szCs w:val="24"/>
          <w:highlight w:val="none"/>
        </w:rPr>
        <w:t>；</w:t>
      </w:r>
    </w:p>
    <w:p w14:paraId="1EE11B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）其它异常恶劣气候灾害。</w:t>
      </w:r>
    </w:p>
    <w:p w14:paraId="494272FB">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承包人工期延误</w:t>
      </w:r>
    </w:p>
    <w:p w14:paraId="4EC378C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）逾期完工违约金表（参考格式）。</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780"/>
        <w:gridCol w:w="2160"/>
        <w:gridCol w:w="2160"/>
      </w:tblGrid>
      <w:tr w14:paraId="1EF0A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noWrap w:val="0"/>
            <w:vAlign w:val="top"/>
          </w:tcPr>
          <w:p w14:paraId="08BAF40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780" w:type="dxa"/>
            <w:noWrap w:val="0"/>
            <w:vAlign w:val="top"/>
          </w:tcPr>
          <w:p w14:paraId="359DAF8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项目及其说明</w:t>
            </w:r>
          </w:p>
        </w:tc>
        <w:tc>
          <w:tcPr>
            <w:tcW w:w="2160" w:type="dxa"/>
            <w:noWrap w:val="0"/>
            <w:vAlign w:val="top"/>
          </w:tcPr>
          <w:p w14:paraId="0B6D402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要求完工日期</w:t>
            </w:r>
          </w:p>
        </w:tc>
        <w:tc>
          <w:tcPr>
            <w:tcW w:w="2160" w:type="dxa"/>
            <w:noWrap w:val="0"/>
            <w:vAlign w:val="top"/>
          </w:tcPr>
          <w:p w14:paraId="2E7E01A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违约金（元/天）</w:t>
            </w:r>
          </w:p>
        </w:tc>
      </w:tr>
      <w:tr w14:paraId="00F83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noWrap w:val="0"/>
            <w:vAlign w:val="top"/>
          </w:tcPr>
          <w:p w14:paraId="1C480E10">
            <w:pPr>
              <w:spacing w:line="360" w:lineRule="auto"/>
              <w:rPr>
                <w:rFonts w:hint="eastAsia" w:ascii="宋体" w:hAnsi="宋体" w:eastAsia="宋体" w:cs="宋体"/>
                <w:color w:val="auto"/>
                <w:sz w:val="24"/>
                <w:szCs w:val="24"/>
                <w:highlight w:val="none"/>
              </w:rPr>
            </w:pPr>
          </w:p>
        </w:tc>
        <w:tc>
          <w:tcPr>
            <w:tcW w:w="3780" w:type="dxa"/>
            <w:noWrap w:val="0"/>
            <w:vAlign w:val="top"/>
          </w:tcPr>
          <w:p w14:paraId="1C415978">
            <w:pPr>
              <w:spacing w:line="360" w:lineRule="auto"/>
              <w:rPr>
                <w:rFonts w:hint="eastAsia" w:ascii="宋体" w:hAnsi="宋体" w:eastAsia="宋体" w:cs="宋体"/>
                <w:color w:val="auto"/>
                <w:sz w:val="24"/>
                <w:szCs w:val="24"/>
                <w:highlight w:val="none"/>
              </w:rPr>
            </w:pPr>
          </w:p>
        </w:tc>
        <w:tc>
          <w:tcPr>
            <w:tcW w:w="2160" w:type="dxa"/>
            <w:noWrap w:val="0"/>
            <w:vAlign w:val="top"/>
          </w:tcPr>
          <w:p w14:paraId="1EBF09ED">
            <w:pPr>
              <w:spacing w:line="360" w:lineRule="auto"/>
              <w:rPr>
                <w:rFonts w:hint="eastAsia" w:ascii="宋体" w:hAnsi="宋体" w:eastAsia="宋体" w:cs="宋体"/>
                <w:color w:val="auto"/>
                <w:sz w:val="24"/>
                <w:szCs w:val="24"/>
                <w:highlight w:val="none"/>
              </w:rPr>
            </w:pPr>
          </w:p>
        </w:tc>
        <w:tc>
          <w:tcPr>
            <w:tcW w:w="2160" w:type="dxa"/>
            <w:noWrap w:val="0"/>
            <w:vAlign w:val="top"/>
          </w:tcPr>
          <w:p w14:paraId="1146AFC1">
            <w:pPr>
              <w:spacing w:line="360" w:lineRule="auto"/>
              <w:rPr>
                <w:rFonts w:hint="eastAsia" w:ascii="宋体" w:hAnsi="宋体" w:eastAsia="宋体" w:cs="宋体"/>
                <w:color w:val="auto"/>
                <w:sz w:val="24"/>
                <w:szCs w:val="24"/>
                <w:highlight w:val="none"/>
              </w:rPr>
            </w:pPr>
          </w:p>
        </w:tc>
      </w:tr>
      <w:tr w14:paraId="2A138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noWrap w:val="0"/>
            <w:vAlign w:val="top"/>
          </w:tcPr>
          <w:p w14:paraId="0A103C78">
            <w:pPr>
              <w:spacing w:line="360" w:lineRule="auto"/>
              <w:rPr>
                <w:rFonts w:hint="eastAsia" w:ascii="宋体" w:hAnsi="宋体" w:eastAsia="宋体" w:cs="宋体"/>
                <w:color w:val="auto"/>
                <w:sz w:val="24"/>
                <w:szCs w:val="24"/>
                <w:highlight w:val="none"/>
              </w:rPr>
            </w:pPr>
          </w:p>
        </w:tc>
        <w:tc>
          <w:tcPr>
            <w:tcW w:w="3780" w:type="dxa"/>
            <w:noWrap w:val="0"/>
            <w:vAlign w:val="top"/>
          </w:tcPr>
          <w:p w14:paraId="64FF6BEF">
            <w:pPr>
              <w:spacing w:line="360" w:lineRule="auto"/>
              <w:rPr>
                <w:rFonts w:hint="eastAsia" w:ascii="宋体" w:hAnsi="宋体" w:eastAsia="宋体" w:cs="宋体"/>
                <w:color w:val="auto"/>
                <w:sz w:val="24"/>
                <w:szCs w:val="24"/>
                <w:highlight w:val="none"/>
              </w:rPr>
            </w:pPr>
          </w:p>
        </w:tc>
        <w:tc>
          <w:tcPr>
            <w:tcW w:w="2160" w:type="dxa"/>
            <w:noWrap w:val="0"/>
            <w:vAlign w:val="top"/>
          </w:tcPr>
          <w:p w14:paraId="73C05A3A">
            <w:pPr>
              <w:spacing w:line="360" w:lineRule="auto"/>
              <w:rPr>
                <w:rFonts w:hint="eastAsia" w:ascii="宋体" w:hAnsi="宋体" w:eastAsia="宋体" w:cs="宋体"/>
                <w:color w:val="auto"/>
                <w:sz w:val="24"/>
                <w:szCs w:val="24"/>
                <w:highlight w:val="none"/>
              </w:rPr>
            </w:pPr>
          </w:p>
        </w:tc>
        <w:tc>
          <w:tcPr>
            <w:tcW w:w="2160" w:type="dxa"/>
            <w:noWrap w:val="0"/>
            <w:vAlign w:val="top"/>
          </w:tcPr>
          <w:p w14:paraId="2BA8B2BF">
            <w:pPr>
              <w:spacing w:line="360" w:lineRule="auto"/>
              <w:rPr>
                <w:rFonts w:hint="eastAsia" w:ascii="宋体" w:hAnsi="宋体" w:eastAsia="宋体" w:cs="宋体"/>
                <w:color w:val="auto"/>
                <w:sz w:val="24"/>
                <w:szCs w:val="24"/>
                <w:highlight w:val="none"/>
              </w:rPr>
            </w:pPr>
          </w:p>
        </w:tc>
      </w:tr>
      <w:tr w14:paraId="6D4D5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noWrap w:val="0"/>
            <w:vAlign w:val="top"/>
          </w:tcPr>
          <w:p w14:paraId="33828DFA">
            <w:pPr>
              <w:spacing w:line="360" w:lineRule="auto"/>
              <w:rPr>
                <w:rFonts w:hint="eastAsia" w:ascii="宋体" w:hAnsi="宋体" w:eastAsia="宋体" w:cs="宋体"/>
                <w:color w:val="auto"/>
                <w:sz w:val="24"/>
                <w:szCs w:val="24"/>
                <w:highlight w:val="none"/>
              </w:rPr>
            </w:pPr>
          </w:p>
        </w:tc>
        <w:tc>
          <w:tcPr>
            <w:tcW w:w="3780" w:type="dxa"/>
            <w:noWrap w:val="0"/>
            <w:vAlign w:val="top"/>
          </w:tcPr>
          <w:p w14:paraId="2B66278E">
            <w:pPr>
              <w:spacing w:line="360" w:lineRule="auto"/>
              <w:rPr>
                <w:rFonts w:hint="eastAsia" w:ascii="宋体" w:hAnsi="宋体" w:eastAsia="宋体" w:cs="宋体"/>
                <w:color w:val="auto"/>
                <w:sz w:val="24"/>
                <w:szCs w:val="24"/>
                <w:highlight w:val="none"/>
              </w:rPr>
            </w:pPr>
          </w:p>
        </w:tc>
        <w:tc>
          <w:tcPr>
            <w:tcW w:w="2160" w:type="dxa"/>
            <w:noWrap w:val="0"/>
            <w:vAlign w:val="top"/>
          </w:tcPr>
          <w:p w14:paraId="02340225">
            <w:pPr>
              <w:spacing w:line="360" w:lineRule="auto"/>
              <w:rPr>
                <w:rFonts w:hint="eastAsia" w:ascii="宋体" w:hAnsi="宋体" w:eastAsia="宋体" w:cs="宋体"/>
                <w:color w:val="auto"/>
                <w:sz w:val="24"/>
                <w:szCs w:val="24"/>
                <w:highlight w:val="none"/>
              </w:rPr>
            </w:pPr>
          </w:p>
        </w:tc>
        <w:tc>
          <w:tcPr>
            <w:tcW w:w="2160" w:type="dxa"/>
            <w:noWrap w:val="0"/>
            <w:vAlign w:val="top"/>
          </w:tcPr>
          <w:p w14:paraId="12DAF96A">
            <w:pPr>
              <w:spacing w:line="360" w:lineRule="auto"/>
              <w:rPr>
                <w:rFonts w:hint="eastAsia" w:ascii="宋体" w:hAnsi="宋体" w:eastAsia="宋体" w:cs="宋体"/>
                <w:color w:val="auto"/>
                <w:sz w:val="24"/>
                <w:szCs w:val="24"/>
                <w:highlight w:val="none"/>
              </w:rPr>
            </w:pPr>
          </w:p>
        </w:tc>
      </w:tr>
      <w:tr w14:paraId="5073F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noWrap w:val="0"/>
            <w:vAlign w:val="top"/>
          </w:tcPr>
          <w:p w14:paraId="32C90913">
            <w:pPr>
              <w:spacing w:line="360" w:lineRule="auto"/>
              <w:rPr>
                <w:rFonts w:hint="eastAsia" w:ascii="宋体" w:hAnsi="宋体" w:eastAsia="宋体" w:cs="宋体"/>
                <w:color w:val="auto"/>
                <w:sz w:val="24"/>
                <w:szCs w:val="24"/>
                <w:highlight w:val="none"/>
              </w:rPr>
            </w:pPr>
          </w:p>
        </w:tc>
        <w:tc>
          <w:tcPr>
            <w:tcW w:w="3780" w:type="dxa"/>
            <w:noWrap w:val="0"/>
            <w:vAlign w:val="top"/>
          </w:tcPr>
          <w:p w14:paraId="044D6719">
            <w:pPr>
              <w:spacing w:line="360" w:lineRule="auto"/>
              <w:rPr>
                <w:rFonts w:hint="eastAsia" w:ascii="宋体" w:hAnsi="宋体" w:eastAsia="宋体" w:cs="宋体"/>
                <w:color w:val="auto"/>
                <w:sz w:val="24"/>
                <w:szCs w:val="24"/>
                <w:highlight w:val="none"/>
              </w:rPr>
            </w:pPr>
          </w:p>
        </w:tc>
        <w:tc>
          <w:tcPr>
            <w:tcW w:w="2160" w:type="dxa"/>
            <w:noWrap w:val="0"/>
            <w:vAlign w:val="top"/>
          </w:tcPr>
          <w:p w14:paraId="7176FB07">
            <w:pPr>
              <w:spacing w:line="360" w:lineRule="auto"/>
              <w:rPr>
                <w:rFonts w:hint="eastAsia" w:ascii="宋体" w:hAnsi="宋体" w:eastAsia="宋体" w:cs="宋体"/>
                <w:color w:val="auto"/>
                <w:sz w:val="24"/>
                <w:szCs w:val="24"/>
                <w:highlight w:val="none"/>
              </w:rPr>
            </w:pPr>
          </w:p>
        </w:tc>
        <w:tc>
          <w:tcPr>
            <w:tcW w:w="2160" w:type="dxa"/>
            <w:noWrap w:val="0"/>
            <w:vAlign w:val="top"/>
          </w:tcPr>
          <w:p w14:paraId="7BAABB4E">
            <w:pPr>
              <w:spacing w:line="360" w:lineRule="auto"/>
              <w:rPr>
                <w:rFonts w:hint="eastAsia" w:ascii="宋体" w:hAnsi="宋体" w:eastAsia="宋体" w:cs="宋体"/>
                <w:color w:val="auto"/>
                <w:sz w:val="24"/>
                <w:szCs w:val="24"/>
                <w:highlight w:val="none"/>
              </w:rPr>
            </w:pPr>
          </w:p>
        </w:tc>
      </w:tr>
    </w:tbl>
    <w:p w14:paraId="6C8395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）全部逾期完工违约金的总限额为</w:t>
      </w:r>
      <w:r>
        <w:rPr>
          <w:rFonts w:hint="eastAsia" w:ascii="宋体" w:hAnsi="宋体" w:eastAsia="宋体" w:cs="宋体"/>
          <w:color w:val="auto"/>
          <w:sz w:val="24"/>
          <w:szCs w:val="24"/>
          <w:highlight w:val="none"/>
          <w:u w:val="single"/>
        </w:rPr>
        <w:t>　（不超过签约合同价的　％）　</w:t>
      </w:r>
      <w:r>
        <w:rPr>
          <w:rFonts w:hint="eastAsia" w:ascii="宋体" w:hAnsi="宋体" w:eastAsia="宋体" w:cs="宋体"/>
          <w:color w:val="auto"/>
          <w:sz w:val="24"/>
          <w:szCs w:val="24"/>
          <w:highlight w:val="none"/>
        </w:rPr>
        <w:t>。</w:t>
      </w:r>
    </w:p>
    <w:p w14:paraId="161FD14C">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工期提前</w:t>
      </w:r>
    </w:p>
    <w:p w14:paraId="5B2286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工期提前的奖金约定：</w:t>
      </w:r>
      <w:r>
        <w:rPr>
          <w:rFonts w:hint="eastAsia" w:ascii="宋体" w:hAnsi="宋体" w:eastAsia="宋体" w:cs="宋体"/>
          <w:color w:val="auto"/>
          <w:sz w:val="24"/>
          <w:szCs w:val="24"/>
          <w:highlight w:val="none"/>
          <w:u w:val="single"/>
        </w:rPr>
        <w:t>无</w:t>
      </w:r>
      <w:r>
        <w:rPr>
          <w:rFonts w:hint="eastAsia" w:ascii="宋体" w:hAnsi="宋体" w:eastAsia="宋体" w:cs="宋体"/>
          <w:color w:val="auto"/>
          <w:sz w:val="24"/>
          <w:szCs w:val="24"/>
          <w:highlight w:val="none"/>
        </w:rPr>
        <w:t>。</w:t>
      </w:r>
    </w:p>
    <w:p w14:paraId="337E00A3">
      <w:pPr>
        <w:pStyle w:val="5"/>
        <w:spacing w:before="156" w:beforeLines="50" w:after="156" w:afterLines="50"/>
        <w:rPr>
          <w:rFonts w:hint="eastAsia" w:ascii="宋体" w:hAnsi="宋体" w:eastAsia="宋体" w:cs="宋体"/>
          <w:b/>
          <w:bCs/>
          <w:color w:val="auto"/>
          <w:highlight w:val="none"/>
        </w:rPr>
      </w:pPr>
      <w:r>
        <w:rPr>
          <w:rFonts w:hint="eastAsia" w:ascii="宋体" w:hAnsi="宋体" w:eastAsia="宋体" w:cs="宋体"/>
          <w:b/>
          <w:bCs/>
          <w:color w:val="auto"/>
          <w:highlight w:val="none"/>
        </w:rPr>
        <w:t>12暂停施工</w:t>
      </w:r>
    </w:p>
    <w:p w14:paraId="4B5894D8">
      <w:pPr>
        <w:spacing w:line="360" w:lineRule="auto"/>
        <w:outlineLvl w:val="4"/>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12.1承包人暂停施工的责任</w:t>
      </w:r>
    </w:p>
    <w:p w14:paraId="1067D9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因下列暂停施工增加的费用和（或）工期延误由承包人承担：</w:t>
      </w:r>
    </w:p>
    <w:p w14:paraId="702BA5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（1）承包人违约引起的暂停施工；</w:t>
      </w:r>
    </w:p>
    <w:p w14:paraId="5208761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（2）由于承包人原因为工程合理施工和安全保障所必需的暂停施工；</w:t>
      </w:r>
    </w:p>
    <w:p w14:paraId="65579F5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（3）承包人擅自暂停施工；</w:t>
      </w:r>
    </w:p>
    <w:p w14:paraId="4C05A1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（4）承包人其他原因引起的暂停施工；</w:t>
      </w:r>
    </w:p>
    <w:p w14:paraId="51FAEA9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（5）专用合同条款约定由承包人承担的其他暂停施工。</w:t>
      </w:r>
    </w:p>
    <w:p w14:paraId="075E24D5">
      <w:pPr>
        <w:spacing w:line="360" w:lineRule="auto"/>
        <w:outlineLvl w:val="4"/>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12.2发包人暂停施工的责任</w:t>
      </w:r>
    </w:p>
    <w:p w14:paraId="657E0E7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由于发包人原因引起的暂停施工造成工期延误的，承包人有权要求发包人延长工期和（或）增加费用，并支付合理利润。</w:t>
      </w:r>
    </w:p>
    <w:p w14:paraId="786488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属于下列任何一种情况引起的暂停施工，均为发包人的责任：</w:t>
      </w:r>
    </w:p>
    <w:p w14:paraId="14B2FC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（1）由于发包人违约引起的暂停施工；</w:t>
      </w:r>
    </w:p>
    <w:p w14:paraId="4D5AD93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（2）由于不可抗力的自然或社会因素引起的暂停施工；</w:t>
      </w:r>
    </w:p>
    <w:p w14:paraId="73D229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（3）专用合同条款中约定的其它由于发包人原因引起的暂停施工。</w:t>
      </w:r>
    </w:p>
    <w:p w14:paraId="2F103298">
      <w:pPr>
        <w:spacing w:line="360" w:lineRule="auto"/>
        <w:outlineLvl w:val="4"/>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12.3监理人暂停施工指示</w:t>
      </w:r>
    </w:p>
    <w:p w14:paraId="1882058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12.3.1监理人认为有必要时，可向承包人作出暂停施工的指示，承包人应按监理人指示暂停施工。不论由于何种原因引起的暂停施工，暂停施工期间承包人应负责妥善保护工程并提供安全保障。</w:t>
      </w:r>
    </w:p>
    <w:p w14:paraId="7EFEEE8F">
      <w:pPr>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szCs w:val="24"/>
          <w:highlight w:val="none"/>
        </w:rPr>
        <w:t>12.3.2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7F164856">
      <w:pPr>
        <w:pStyle w:val="5"/>
        <w:spacing w:before="156" w:beforeLines="50" w:after="156" w:afterLines="50"/>
        <w:rPr>
          <w:rFonts w:hint="eastAsia" w:ascii="宋体" w:hAnsi="宋体" w:eastAsia="宋体" w:cs="宋体"/>
          <w:color w:val="auto"/>
          <w:kern w:val="0"/>
          <w:sz w:val="22"/>
          <w:szCs w:val="22"/>
          <w:highlight w:val="none"/>
        </w:rPr>
      </w:pPr>
      <w:bookmarkStart w:id="56" w:name="_Toc265408526"/>
      <w:r>
        <w:rPr>
          <w:rFonts w:hint="eastAsia" w:ascii="宋体" w:hAnsi="宋体" w:eastAsia="宋体" w:cs="宋体"/>
          <w:color w:val="auto"/>
          <w:highlight w:val="none"/>
        </w:rPr>
        <w:t>13工程质量</w:t>
      </w:r>
      <w:bookmarkEnd w:id="56"/>
    </w:p>
    <w:p w14:paraId="586644E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质量评定</w:t>
      </w:r>
    </w:p>
    <w:p w14:paraId="41F4FA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重要隐蔽单元工程和关键部位单元工程质量评定的约定：</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sz w:val="24"/>
          <w:szCs w:val="24"/>
          <w:highlight w:val="none"/>
        </w:rPr>
        <w:t>。</w:t>
      </w:r>
    </w:p>
    <w:p w14:paraId="40EADD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工程合格标准为：</w:t>
      </w:r>
      <w:r>
        <w:rPr>
          <w:rFonts w:hint="eastAsia" w:ascii="宋体" w:hAnsi="宋体" w:eastAsia="宋体" w:cs="宋体"/>
          <w:color w:val="auto"/>
          <w:sz w:val="24"/>
          <w:szCs w:val="24"/>
          <w:highlight w:val="none"/>
          <w:u w:val="single"/>
        </w:rPr>
        <w:t>合格</w:t>
      </w:r>
      <w:r>
        <w:rPr>
          <w:rFonts w:hint="eastAsia" w:ascii="宋体" w:hAnsi="宋体" w:eastAsia="宋体" w:cs="宋体"/>
          <w:color w:val="auto"/>
          <w:sz w:val="24"/>
          <w:szCs w:val="24"/>
          <w:highlight w:val="none"/>
        </w:rPr>
        <w:t>；优良标准为：。达到优良的奖金为：</w:t>
      </w:r>
      <w:r>
        <w:rPr>
          <w:rFonts w:hint="eastAsia" w:ascii="宋体" w:hAnsi="宋体" w:eastAsia="宋体" w:cs="宋体"/>
          <w:color w:val="auto"/>
          <w:sz w:val="24"/>
          <w:szCs w:val="24"/>
          <w:highlight w:val="none"/>
          <w:u w:val="single"/>
        </w:rPr>
        <w:t>无</w:t>
      </w:r>
      <w:r>
        <w:rPr>
          <w:rFonts w:hint="eastAsia" w:ascii="宋体" w:hAnsi="宋体" w:eastAsia="宋体" w:cs="宋体"/>
          <w:color w:val="auto"/>
          <w:sz w:val="24"/>
          <w:szCs w:val="24"/>
          <w:highlight w:val="none"/>
        </w:rPr>
        <w:t>。</w:t>
      </w:r>
    </w:p>
    <w:p w14:paraId="706C7B6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质量事故处理</w:t>
      </w:r>
    </w:p>
    <w:p w14:paraId="1F6C16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工程竣工验收时，</w:t>
      </w:r>
      <w:r>
        <w:rPr>
          <w:rFonts w:hint="eastAsia" w:ascii="宋体" w:hAnsi="宋体" w:eastAsia="宋体" w:cs="宋体"/>
          <w:color w:val="auto"/>
          <w:sz w:val="24"/>
          <w:szCs w:val="24"/>
          <w:highlight w:val="none"/>
          <w:u w:val="single"/>
        </w:rPr>
        <w:t>承包人协助发包人</w:t>
      </w:r>
      <w:r>
        <w:rPr>
          <w:rFonts w:hint="eastAsia" w:ascii="宋体" w:hAnsi="宋体" w:eastAsia="宋体" w:cs="宋体"/>
          <w:color w:val="auto"/>
          <w:sz w:val="24"/>
          <w:szCs w:val="24"/>
          <w:highlight w:val="none"/>
        </w:rPr>
        <w:t>向竣工验收委员会汇报并提交历次质量缺陷处理的备案资料。</w:t>
      </w:r>
    </w:p>
    <w:p w14:paraId="3427772F">
      <w:pPr>
        <w:pStyle w:val="5"/>
        <w:spacing w:before="156" w:beforeLines="50" w:after="156" w:afterLines="50"/>
        <w:rPr>
          <w:rFonts w:hint="eastAsia" w:ascii="宋体" w:hAnsi="宋体" w:eastAsia="宋体" w:cs="宋体"/>
          <w:color w:val="auto"/>
          <w:highlight w:val="none"/>
        </w:rPr>
      </w:pPr>
      <w:bookmarkStart w:id="57" w:name="_Toc265408527"/>
      <w:r>
        <w:rPr>
          <w:rFonts w:hint="eastAsia" w:ascii="宋体" w:hAnsi="宋体" w:eastAsia="宋体" w:cs="宋体"/>
          <w:color w:val="auto"/>
          <w:highlight w:val="none"/>
        </w:rPr>
        <w:t>14试验和检验</w:t>
      </w:r>
      <w:bookmarkEnd w:id="57"/>
    </w:p>
    <w:p w14:paraId="3D3D62DE">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14.1材料、工程设备和工程的试验和检验</w:t>
      </w:r>
    </w:p>
    <w:p w14:paraId="2BF961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水工金属结构、启闭机及机电产品进场后的交货检查和验收中，承包人负责</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sz w:val="24"/>
          <w:szCs w:val="24"/>
          <w:highlight w:val="none"/>
        </w:rPr>
        <w:t>。</w:t>
      </w:r>
    </w:p>
    <w:p w14:paraId="5AF6B3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本工程实行见证取样的试块、试件及有关材料：</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sz w:val="24"/>
          <w:szCs w:val="24"/>
          <w:highlight w:val="none"/>
        </w:rPr>
        <w:t>。</w:t>
      </w:r>
    </w:p>
    <w:p w14:paraId="25ED6404">
      <w:pPr>
        <w:pStyle w:val="5"/>
        <w:spacing w:before="156" w:beforeLines="50" w:after="156" w:afterLines="50"/>
        <w:rPr>
          <w:rFonts w:hint="eastAsia" w:ascii="宋体" w:hAnsi="宋体" w:eastAsia="宋体" w:cs="宋体"/>
          <w:color w:val="auto"/>
          <w:highlight w:val="none"/>
        </w:rPr>
      </w:pPr>
      <w:bookmarkStart w:id="58" w:name="_Toc265408528"/>
      <w:r>
        <w:rPr>
          <w:rFonts w:hint="eastAsia" w:ascii="宋体" w:hAnsi="宋体" w:eastAsia="宋体" w:cs="宋体"/>
          <w:color w:val="auto"/>
          <w:highlight w:val="none"/>
        </w:rPr>
        <w:t>15变更</w:t>
      </w:r>
      <w:bookmarkEnd w:id="58"/>
    </w:p>
    <w:p w14:paraId="79C35167">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15.1变更的范围和内容</w:t>
      </w:r>
    </w:p>
    <w:p w14:paraId="61E1E9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）增加或减少合同中关键项目的工程量超过其工程总量的</w:t>
      </w:r>
      <w:r>
        <w:rPr>
          <w:rFonts w:hint="eastAsia" w:ascii="宋体" w:hAnsi="宋体" w:eastAsia="宋体" w:cs="宋体"/>
          <w:i w:val="0"/>
          <w:iCs/>
          <w:color w:val="auto"/>
          <w:sz w:val="24"/>
          <w:szCs w:val="24"/>
          <w:highlight w:val="none"/>
          <w:u w:val="single"/>
        </w:rPr>
        <w:t>（合同签订时另行约定）</w:t>
      </w:r>
      <w:r>
        <w:rPr>
          <w:rFonts w:hint="eastAsia" w:ascii="宋体" w:hAnsi="宋体" w:eastAsia="宋体" w:cs="宋体"/>
          <w:i w:val="0"/>
          <w:iCs/>
          <w:color w:val="auto"/>
          <w:sz w:val="24"/>
          <w:szCs w:val="24"/>
          <w:highlight w:val="none"/>
        </w:rPr>
        <w:t>％，关键项目：</w:t>
      </w:r>
      <w:r>
        <w:rPr>
          <w:rFonts w:hint="eastAsia" w:ascii="宋体" w:hAnsi="宋体" w:eastAsia="宋体" w:cs="宋体"/>
          <w:i w:val="0"/>
          <w:iCs/>
          <w:color w:val="auto"/>
          <w:sz w:val="24"/>
          <w:szCs w:val="24"/>
          <w:highlight w:val="none"/>
          <w:u w:val="single"/>
        </w:rPr>
        <w:t>（合同签订时另行约定）</w:t>
      </w:r>
      <w:r>
        <w:rPr>
          <w:rFonts w:hint="eastAsia" w:ascii="宋体" w:hAnsi="宋体" w:eastAsia="宋体" w:cs="宋体"/>
          <w:i w:val="0"/>
          <w:iCs/>
          <w:color w:val="auto"/>
          <w:sz w:val="24"/>
          <w:szCs w:val="24"/>
          <w:highlight w:val="none"/>
        </w:rPr>
        <w:t>，单价调整方式：</w:t>
      </w:r>
      <w:r>
        <w:rPr>
          <w:rFonts w:hint="eastAsia" w:ascii="宋体" w:hAnsi="宋体" w:eastAsia="宋体" w:cs="宋体"/>
          <w:i w:val="0"/>
          <w:iCs/>
          <w:color w:val="auto"/>
          <w:sz w:val="24"/>
          <w:szCs w:val="24"/>
          <w:highlight w:val="none"/>
          <w:u w:val="single"/>
        </w:rPr>
        <w:t>（合同签订时另行约</w:t>
      </w:r>
      <w:r>
        <w:rPr>
          <w:rFonts w:hint="eastAsia" w:ascii="宋体" w:hAnsi="宋体" w:eastAsia="宋体" w:cs="宋体"/>
          <w:i/>
          <w:color w:val="auto"/>
          <w:sz w:val="24"/>
          <w:szCs w:val="24"/>
          <w:highlight w:val="none"/>
          <w:u w:val="single"/>
        </w:rPr>
        <w:t>定）</w:t>
      </w:r>
      <w:r>
        <w:rPr>
          <w:rFonts w:hint="eastAsia" w:ascii="宋体" w:hAnsi="宋体" w:eastAsia="宋体" w:cs="宋体"/>
          <w:color w:val="auto"/>
          <w:sz w:val="24"/>
          <w:szCs w:val="24"/>
          <w:highlight w:val="none"/>
        </w:rPr>
        <w:t>。</w:t>
      </w:r>
    </w:p>
    <w:p w14:paraId="30CD373A">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15.5承包人的合理化建议</w:t>
      </w:r>
    </w:p>
    <w:p w14:paraId="174997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承包人实现合理化建议的奖励金额为：</w:t>
      </w:r>
      <w:r>
        <w:rPr>
          <w:rFonts w:hint="eastAsia" w:ascii="宋体" w:hAnsi="宋体" w:eastAsia="宋体" w:cs="宋体"/>
          <w:color w:val="auto"/>
          <w:sz w:val="24"/>
          <w:szCs w:val="24"/>
          <w:highlight w:val="none"/>
          <w:u w:val="single"/>
        </w:rPr>
        <w:t>　　　无　　　　</w:t>
      </w:r>
      <w:r>
        <w:rPr>
          <w:rFonts w:hint="eastAsia" w:ascii="宋体" w:hAnsi="宋体" w:eastAsia="宋体" w:cs="宋体"/>
          <w:color w:val="auto"/>
          <w:sz w:val="24"/>
          <w:szCs w:val="24"/>
          <w:highlight w:val="none"/>
        </w:rPr>
        <w:t>。</w:t>
      </w:r>
    </w:p>
    <w:p w14:paraId="51A9011B">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15.8暂估价</w:t>
      </w:r>
    </w:p>
    <w:p w14:paraId="78DB805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）发包人和承包人组织招标的暂估价项目：</w:t>
      </w:r>
      <w:r>
        <w:rPr>
          <w:rFonts w:hint="eastAsia" w:ascii="宋体" w:hAnsi="宋体" w:eastAsia="宋体" w:cs="宋体"/>
          <w:color w:val="auto"/>
          <w:sz w:val="24"/>
          <w:szCs w:val="24"/>
          <w:highlight w:val="none"/>
          <w:u w:val="single"/>
        </w:rPr>
        <w:t>　（签约后填入）　</w:t>
      </w:r>
      <w:r>
        <w:rPr>
          <w:rFonts w:hint="eastAsia" w:ascii="宋体" w:hAnsi="宋体" w:eastAsia="宋体" w:cs="宋体"/>
          <w:color w:val="auto"/>
          <w:sz w:val="24"/>
          <w:szCs w:val="24"/>
          <w:highlight w:val="none"/>
        </w:rPr>
        <w:t>；发包人组织招标的暂估价项目：</w:t>
      </w:r>
      <w:r>
        <w:rPr>
          <w:rFonts w:hint="eastAsia" w:ascii="宋体" w:hAnsi="宋体" w:eastAsia="宋体" w:cs="宋体"/>
          <w:color w:val="auto"/>
          <w:sz w:val="24"/>
          <w:szCs w:val="24"/>
          <w:highlight w:val="none"/>
          <w:u w:val="single"/>
        </w:rPr>
        <w:t>　（签约后填入）　</w:t>
      </w:r>
      <w:r>
        <w:rPr>
          <w:rFonts w:hint="eastAsia" w:ascii="宋体" w:hAnsi="宋体" w:eastAsia="宋体" w:cs="宋体"/>
          <w:color w:val="auto"/>
          <w:sz w:val="24"/>
          <w:szCs w:val="24"/>
          <w:highlight w:val="none"/>
        </w:rPr>
        <w:t>。</w:t>
      </w:r>
    </w:p>
    <w:p w14:paraId="5ED30F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）发包人和承包人以招标方式选择暂估价项目供应商或分包人时，双方的权利义务关系：</w:t>
      </w:r>
      <w:r>
        <w:rPr>
          <w:rFonts w:hint="eastAsia" w:ascii="宋体" w:hAnsi="宋体" w:eastAsia="宋体" w:cs="宋体"/>
          <w:color w:val="auto"/>
          <w:sz w:val="24"/>
          <w:szCs w:val="24"/>
          <w:highlight w:val="none"/>
          <w:u w:val="single"/>
        </w:rPr>
        <w:t>不适用</w:t>
      </w:r>
      <w:r>
        <w:rPr>
          <w:rFonts w:hint="eastAsia" w:ascii="宋体" w:hAnsi="宋体" w:eastAsia="宋体" w:cs="宋体"/>
          <w:color w:val="auto"/>
          <w:sz w:val="24"/>
          <w:szCs w:val="24"/>
          <w:highlight w:val="none"/>
        </w:rPr>
        <w:t>。</w:t>
      </w:r>
    </w:p>
    <w:p w14:paraId="5676B424">
      <w:pPr>
        <w:pStyle w:val="5"/>
        <w:spacing w:before="156" w:beforeLines="50" w:after="156" w:afterLines="50"/>
        <w:rPr>
          <w:rFonts w:hint="eastAsia" w:ascii="宋体" w:hAnsi="宋体" w:eastAsia="宋体" w:cs="宋体"/>
          <w:color w:val="auto"/>
          <w:highlight w:val="none"/>
        </w:rPr>
      </w:pPr>
      <w:bookmarkStart w:id="59" w:name="_Toc265408529"/>
      <w:r>
        <w:rPr>
          <w:rFonts w:hint="eastAsia" w:ascii="宋体" w:hAnsi="宋体" w:eastAsia="宋体" w:cs="宋体"/>
          <w:color w:val="auto"/>
          <w:highlight w:val="none"/>
        </w:rPr>
        <w:t>16价格调整</w:t>
      </w:r>
      <w:bookmarkEnd w:id="59"/>
    </w:p>
    <w:p w14:paraId="755C6C80">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16.1物价波动引起的价格调整</w:t>
      </w:r>
    </w:p>
    <w:p w14:paraId="1B0E93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砂、石、水泥、沥青、钢材、水泥砼</w:t>
      </w:r>
      <w:r>
        <w:rPr>
          <w:rFonts w:hint="eastAsia" w:ascii="宋体" w:hAnsi="宋体" w:eastAsia="宋体" w:cs="宋体"/>
          <w:color w:val="auto"/>
          <w:sz w:val="24"/>
          <w:szCs w:val="24"/>
          <w:highlight w:val="none"/>
        </w:rPr>
        <w:t>投标人自行考虑材料价格风险，计入综合单价内，施工期间材料价格涨浮±5%以内不予调整。涨幅超过5%，其超出部分由发包人补差，超过-5%以上部分从合同中扣除。【参考执行陕建发（2009）3号文，计算方法：发包人补差=施工期当期陕西省交通运输厅交通工程定额站发布的信息价（若无信息价，则采用市场询价）-招标时采用信息价(</w:t>
      </w:r>
      <w:r>
        <w:rPr>
          <w:rFonts w:hint="eastAsia" w:ascii="宋体" w:hAnsi="宋体" w:eastAsia="宋体" w:cs="宋体"/>
          <w:color w:val="auto"/>
          <w:sz w:val="24"/>
          <w:szCs w:val="24"/>
          <w:highlight w:val="none"/>
          <w:lang w:eastAsia="zh-CN"/>
        </w:rPr>
        <w:t>统筹整合使用财政涉农资金项目前期预算评审信息价</w:t>
      </w:r>
      <w:r>
        <w:rPr>
          <w:rFonts w:hint="eastAsia" w:ascii="宋体" w:hAnsi="宋体" w:eastAsia="宋体" w:cs="宋体"/>
          <w:color w:val="auto"/>
          <w:sz w:val="24"/>
          <w:szCs w:val="24"/>
          <w:highlight w:val="none"/>
        </w:rPr>
        <w:t>)×1.05；合同扣除价=招标时采用信息价×0.95-施工期当期陕西省交通运输厅交通工程定额站发布的信息价（若无信息价，则采用市场询价）。投标人投标主材单价不作为施工期间材料差价计算依据。价差部分仅记取规费税金，其余不计。】</w:t>
      </w:r>
    </w:p>
    <w:p w14:paraId="32C07D0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材料数量确定方法：按公路工程2018预算定额的消耗量确定或定额没有的按实际发生量双方据实测定。</w:t>
      </w:r>
    </w:p>
    <w:p w14:paraId="75FC2D29">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16.2采用造价信息调整价格差额</w:t>
      </w:r>
    </w:p>
    <w:p w14:paraId="27D3DA7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工程造价信息的来源：</w:t>
      </w:r>
      <w:r>
        <w:rPr>
          <w:rFonts w:hint="eastAsia" w:ascii="宋体" w:hAnsi="宋体" w:eastAsia="宋体" w:cs="宋体"/>
          <w:color w:val="auto"/>
          <w:sz w:val="24"/>
          <w:szCs w:val="24"/>
          <w:highlight w:val="none"/>
          <w:u w:val="single"/>
        </w:rPr>
        <w:t>（签约后填入）</w:t>
      </w:r>
      <w:r>
        <w:rPr>
          <w:rFonts w:hint="eastAsia" w:ascii="宋体" w:hAnsi="宋体" w:eastAsia="宋体" w:cs="宋体"/>
          <w:color w:val="auto"/>
          <w:sz w:val="24"/>
          <w:szCs w:val="24"/>
          <w:highlight w:val="none"/>
        </w:rPr>
        <w:t>。</w:t>
      </w:r>
    </w:p>
    <w:p w14:paraId="1F032E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价格调整的项目和系数：</w:t>
      </w:r>
      <w:r>
        <w:rPr>
          <w:rFonts w:hint="eastAsia" w:ascii="宋体" w:hAnsi="宋体" w:eastAsia="宋体" w:cs="宋体"/>
          <w:color w:val="auto"/>
          <w:sz w:val="24"/>
          <w:szCs w:val="24"/>
          <w:highlight w:val="none"/>
          <w:u w:val="single"/>
        </w:rPr>
        <w:t>（签约后填入）</w:t>
      </w:r>
      <w:r>
        <w:rPr>
          <w:rFonts w:hint="eastAsia" w:ascii="宋体" w:hAnsi="宋体" w:eastAsia="宋体" w:cs="宋体"/>
          <w:color w:val="auto"/>
          <w:sz w:val="24"/>
          <w:szCs w:val="24"/>
          <w:highlight w:val="none"/>
        </w:rPr>
        <w:t>。</w:t>
      </w:r>
    </w:p>
    <w:p w14:paraId="1E5FC5A1">
      <w:pPr>
        <w:pStyle w:val="5"/>
        <w:spacing w:before="156" w:beforeLines="50" w:after="156" w:afterLines="50"/>
        <w:rPr>
          <w:rFonts w:hint="eastAsia" w:ascii="宋体" w:hAnsi="宋体" w:eastAsia="宋体" w:cs="宋体"/>
          <w:color w:val="auto"/>
          <w:kern w:val="0"/>
          <w:sz w:val="22"/>
          <w:szCs w:val="22"/>
          <w:highlight w:val="none"/>
        </w:rPr>
      </w:pPr>
      <w:bookmarkStart w:id="60" w:name="_Toc265408530"/>
      <w:r>
        <w:rPr>
          <w:rFonts w:hint="eastAsia" w:ascii="宋体" w:hAnsi="宋体" w:eastAsia="宋体" w:cs="宋体"/>
          <w:color w:val="auto"/>
          <w:highlight w:val="none"/>
        </w:rPr>
        <w:t>17计量与支付</w:t>
      </w:r>
      <w:bookmarkEnd w:id="60"/>
    </w:p>
    <w:p w14:paraId="7ABECB98">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17.1合同价格形式</w:t>
      </w:r>
    </w:p>
    <w:p w14:paraId="49BAE890">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17.1.1</w:t>
      </w:r>
      <w:r>
        <w:rPr>
          <w:rFonts w:hint="eastAsia" w:ascii="宋体" w:hAnsi="宋体" w:eastAsia="宋体" w:cs="宋体"/>
          <w:color w:val="auto"/>
          <w:sz w:val="24"/>
          <w:szCs w:val="24"/>
          <w:highlight w:val="none"/>
        </w:rPr>
        <w:t>合同总价包括完成该工程项目的直接费、间接费、利润、税金、保险费、其它费用以及合同明示或暗示的所有风险、责任和义务等全部费用。</w:t>
      </w:r>
    </w:p>
    <w:p w14:paraId="7FAADBA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17.1.2</w:t>
      </w:r>
      <w:r>
        <w:rPr>
          <w:rFonts w:hint="eastAsia" w:ascii="宋体" w:hAnsi="宋体" w:eastAsia="宋体" w:cs="宋体"/>
          <w:color w:val="auto"/>
          <w:sz w:val="24"/>
          <w:szCs w:val="24"/>
          <w:highlight w:val="none"/>
        </w:rPr>
        <w:t>合同总价、单价按照成交确定的价格和合同中明确的工程范围，在工程实施过程中一次性包死。除此之外的工程范围和工程量的变动部分在征得甲方同意后实行现场签证，依照磋商报价增加或扣减。</w:t>
      </w:r>
    </w:p>
    <w:p w14:paraId="7F7104EE">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预付款</w:t>
      </w:r>
      <w:bookmarkStart w:id="66" w:name="_GoBack"/>
      <w:bookmarkEnd w:id="66"/>
    </w:p>
    <w:p w14:paraId="42EE1ABE">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.1预付款：</w:t>
      </w:r>
      <w:r>
        <w:rPr>
          <w:rFonts w:hint="eastAsia" w:ascii="宋体" w:hAnsi="宋体" w:eastAsia="宋体" w:cs="宋体"/>
          <w:color w:val="auto"/>
          <w:sz w:val="24"/>
          <w:szCs w:val="24"/>
          <w:highlight w:val="none"/>
          <w:u w:val="single"/>
          <w:lang w:eastAsia="zh-CN"/>
        </w:rPr>
        <w:t>成交</w:t>
      </w:r>
      <w:r>
        <w:rPr>
          <w:rFonts w:hint="eastAsia" w:ascii="宋体" w:hAnsi="宋体" w:eastAsia="宋体" w:cs="宋体"/>
          <w:color w:val="auto"/>
          <w:sz w:val="24"/>
          <w:szCs w:val="24"/>
          <w:highlight w:val="none"/>
          <w:u w:val="single"/>
        </w:rPr>
        <w:t>合同总额的</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0%</w:t>
      </w:r>
    </w:p>
    <w:p w14:paraId="24DB4E40">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进度付款</w:t>
      </w:r>
    </w:p>
    <w:p w14:paraId="0D49A689">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.1付款周期</w:t>
      </w:r>
    </w:p>
    <w:p w14:paraId="782E2BAB">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1、付款条件说明：合同签订后，达到付款条件起30日内，支付合同总金额的30.00%。</w:t>
      </w:r>
    </w:p>
    <w:p w14:paraId="7C5DE49B">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2、付款条件说明：根据施工进度拨付进度款，待工程完工验收合格后、经审计部门审定后，达到付款条件起30日内，支付合同总金额的67.00%。</w:t>
      </w:r>
    </w:p>
    <w:p w14:paraId="16E79152">
      <w:pPr>
        <w:numPr>
          <w:ilvl w:val="0"/>
          <w:numId w:val="2"/>
        </w:num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付款条件说明：待项目竣（交）工验收合格后，达到付款条件起30日内，支付合同总金额的3.00%。</w:t>
      </w:r>
    </w:p>
    <w:p w14:paraId="319A276B">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质量保证金</w:t>
      </w:r>
    </w:p>
    <w:p w14:paraId="26130CA1">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w:t>
      </w:r>
    </w:p>
    <w:p w14:paraId="31000565">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竣工（完工）结算</w:t>
      </w:r>
    </w:p>
    <w:p w14:paraId="717AF5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.1竣工（完工）付款申请单</w:t>
      </w:r>
    </w:p>
    <w:p w14:paraId="0A7BAA7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）承包人应提交完工付款申请单一式</w:t>
      </w:r>
      <w:r>
        <w:rPr>
          <w:rFonts w:hint="eastAsia" w:ascii="宋体" w:hAnsi="宋体" w:eastAsia="宋体" w:cs="宋体"/>
          <w:color w:val="auto"/>
          <w:sz w:val="24"/>
          <w:szCs w:val="24"/>
          <w:highlight w:val="none"/>
          <w:u w:val="single"/>
        </w:rPr>
        <w:t>4</w:t>
      </w:r>
      <w:r>
        <w:rPr>
          <w:rFonts w:hint="eastAsia" w:ascii="宋体" w:hAnsi="宋体" w:eastAsia="宋体" w:cs="宋体"/>
          <w:color w:val="auto"/>
          <w:sz w:val="24"/>
          <w:szCs w:val="24"/>
          <w:highlight w:val="none"/>
        </w:rPr>
        <w:t>份。</w:t>
      </w:r>
    </w:p>
    <w:p w14:paraId="7FD254D4">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17.6最终结清</w:t>
      </w:r>
    </w:p>
    <w:p w14:paraId="7FE9FD4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17.6.1最终结清申请单</w:t>
      </w:r>
    </w:p>
    <w:p w14:paraId="320B0FF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）承包人应提交最终结清申请单一式</w:t>
      </w:r>
      <w:r>
        <w:rPr>
          <w:rFonts w:hint="eastAsia" w:ascii="宋体" w:hAnsi="宋体" w:eastAsia="宋体" w:cs="宋体"/>
          <w:color w:val="auto"/>
          <w:sz w:val="24"/>
          <w:szCs w:val="24"/>
          <w:highlight w:val="none"/>
          <w:u w:val="single"/>
        </w:rPr>
        <w:t>4</w:t>
      </w:r>
      <w:r>
        <w:rPr>
          <w:rFonts w:hint="eastAsia" w:ascii="宋体" w:hAnsi="宋体" w:eastAsia="宋体" w:cs="宋体"/>
          <w:color w:val="auto"/>
          <w:sz w:val="24"/>
          <w:szCs w:val="24"/>
          <w:highlight w:val="none"/>
        </w:rPr>
        <w:t>份。</w:t>
      </w:r>
    </w:p>
    <w:p w14:paraId="550FFE8F">
      <w:pPr>
        <w:pStyle w:val="5"/>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17.7竣工财务决算</w:t>
      </w:r>
    </w:p>
    <w:p w14:paraId="15D91846">
      <w:pPr>
        <w:spacing w:line="360" w:lineRule="auto"/>
        <w:ind w:firstLine="480" w:firstLineChars="200"/>
        <w:rPr>
          <w:rFonts w:hint="eastAsia" w:ascii="宋体" w:hAnsi="宋体" w:eastAsia="宋体" w:cs="宋体"/>
          <w:color w:val="auto"/>
          <w:sz w:val="24"/>
          <w:szCs w:val="24"/>
          <w:highlight w:val="none"/>
        </w:rPr>
      </w:pPr>
      <w:bookmarkStart w:id="61" w:name="_Toc265408531"/>
      <w:r>
        <w:rPr>
          <w:rFonts w:hint="eastAsia" w:ascii="宋体" w:hAnsi="宋体" w:eastAsia="宋体" w:cs="宋体"/>
          <w:color w:val="auto"/>
          <w:sz w:val="24"/>
          <w:szCs w:val="24"/>
          <w:highlight w:val="none"/>
        </w:rPr>
        <w:t>承包人应为竣工财务决算编制提供的资料：。</w:t>
      </w:r>
    </w:p>
    <w:p w14:paraId="09D87A17">
      <w:pPr>
        <w:pStyle w:val="5"/>
        <w:spacing w:before="156" w:beforeLines="50" w:after="156" w:afterLines="50"/>
        <w:rPr>
          <w:rFonts w:hint="eastAsia" w:ascii="宋体" w:hAnsi="宋体" w:eastAsia="宋体" w:cs="宋体"/>
          <w:color w:val="auto"/>
          <w:highlight w:val="none"/>
        </w:rPr>
      </w:pPr>
      <w:r>
        <w:rPr>
          <w:rFonts w:hint="eastAsia" w:ascii="宋体" w:hAnsi="宋体" w:eastAsia="宋体" w:cs="宋体"/>
          <w:color w:val="auto"/>
          <w:highlight w:val="none"/>
        </w:rPr>
        <w:t>18竣工验收（验收）</w:t>
      </w:r>
      <w:bookmarkEnd w:id="61"/>
    </w:p>
    <w:p w14:paraId="79CD5023">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18.1验收工作分类</w:t>
      </w:r>
    </w:p>
    <w:p w14:paraId="24E07C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本工程法人验收包括：</w:t>
      </w:r>
      <w:r>
        <w:rPr>
          <w:rFonts w:hint="eastAsia" w:ascii="宋体" w:hAnsi="宋体" w:eastAsia="宋体" w:cs="宋体"/>
          <w:color w:val="auto"/>
          <w:sz w:val="24"/>
          <w:szCs w:val="24"/>
          <w:highlight w:val="none"/>
          <w:u w:val="single"/>
        </w:rPr>
        <w:t>单位工程验收、自查验收</w:t>
      </w:r>
      <w:r>
        <w:rPr>
          <w:rFonts w:hint="eastAsia" w:ascii="宋体" w:hAnsi="宋体" w:eastAsia="宋体" w:cs="宋体"/>
          <w:color w:val="auto"/>
          <w:sz w:val="24"/>
          <w:szCs w:val="24"/>
          <w:highlight w:val="none"/>
        </w:rPr>
        <w:t>；政府验收包括：</w:t>
      </w:r>
      <w:r>
        <w:rPr>
          <w:rFonts w:hint="eastAsia" w:ascii="宋体" w:hAnsi="宋体" w:eastAsia="宋体" w:cs="宋体"/>
          <w:color w:val="auto"/>
          <w:sz w:val="24"/>
          <w:szCs w:val="24"/>
          <w:highlight w:val="none"/>
          <w:u w:val="single"/>
        </w:rPr>
        <w:t>竣工验收</w:t>
      </w:r>
      <w:r>
        <w:rPr>
          <w:rFonts w:hint="eastAsia" w:ascii="宋体" w:hAnsi="宋体" w:eastAsia="宋体" w:cs="宋体"/>
          <w:color w:val="auto"/>
          <w:sz w:val="24"/>
          <w:szCs w:val="24"/>
          <w:highlight w:val="none"/>
        </w:rPr>
        <w:t>。验收条件为：</w:t>
      </w:r>
      <w:r>
        <w:rPr>
          <w:rFonts w:hint="eastAsia" w:ascii="宋体" w:hAnsi="宋体" w:eastAsia="宋体" w:cs="宋体"/>
          <w:color w:val="auto"/>
          <w:sz w:val="24"/>
          <w:szCs w:val="24"/>
          <w:highlight w:val="none"/>
          <w:u w:val="single"/>
        </w:rPr>
        <w:t>（签约后填入）</w:t>
      </w:r>
      <w:r>
        <w:rPr>
          <w:rFonts w:hint="eastAsia" w:ascii="宋体" w:hAnsi="宋体" w:eastAsia="宋体" w:cs="宋体"/>
          <w:color w:val="auto"/>
          <w:sz w:val="24"/>
          <w:szCs w:val="24"/>
          <w:highlight w:val="none"/>
        </w:rPr>
        <w:t>，验收程序为：</w:t>
      </w:r>
      <w:r>
        <w:rPr>
          <w:rFonts w:hint="eastAsia" w:ascii="宋体" w:hAnsi="宋体" w:eastAsia="宋体" w:cs="宋体"/>
          <w:color w:val="auto"/>
          <w:sz w:val="24"/>
          <w:szCs w:val="24"/>
          <w:highlight w:val="none"/>
          <w:u w:val="single"/>
        </w:rPr>
        <w:t>（签约后填入）</w:t>
      </w:r>
      <w:r>
        <w:rPr>
          <w:rFonts w:hint="eastAsia" w:ascii="宋体" w:hAnsi="宋体" w:eastAsia="宋体" w:cs="宋体"/>
          <w:color w:val="auto"/>
          <w:sz w:val="24"/>
          <w:szCs w:val="24"/>
          <w:highlight w:val="none"/>
        </w:rPr>
        <w:t>。</w:t>
      </w:r>
    </w:p>
    <w:p w14:paraId="4028712F">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18.2分部工程验收</w:t>
      </w:r>
    </w:p>
    <w:p w14:paraId="2C0441B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本工程由发包人主持的分部工程验收为</w:t>
      </w:r>
      <w:r>
        <w:rPr>
          <w:rFonts w:hint="eastAsia" w:ascii="宋体" w:hAnsi="宋体" w:eastAsia="宋体" w:cs="宋体"/>
          <w:color w:val="auto"/>
          <w:sz w:val="24"/>
          <w:szCs w:val="24"/>
          <w:highlight w:val="none"/>
          <w:u w:val="single"/>
        </w:rPr>
        <w:t>（签约后填入）</w:t>
      </w:r>
      <w:r>
        <w:rPr>
          <w:rFonts w:hint="eastAsia" w:ascii="宋体" w:hAnsi="宋体" w:eastAsia="宋体" w:cs="宋体"/>
          <w:color w:val="auto"/>
          <w:sz w:val="24"/>
          <w:szCs w:val="24"/>
          <w:highlight w:val="none"/>
        </w:rPr>
        <w:t>，其余由监理人主持。</w:t>
      </w:r>
    </w:p>
    <w:p w14:paraId="173E87F4">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18.3单位工程验收</w:t>
      </w:r>
    </w:p>
    <w:p w14:paraId="64FDD5B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提前投入使用的单位工程包括：</w:t>
      </w:r>
      <w:r>
        <w:rPr>
          <w:rFonts w:hint="eastAsia" w:ascii="宋体" w:hAnsi="宋体" w:eastAsia="宋体" w:cs="宋体"/>
          <w:color w:val="auto"/>
          <w:sz w:val="24"/>
          <w:szCs w:val="24"/>
          <w:highlight w:val="none"/>
          <w:u w:val="single"/>
        </w:rPr>
        <w:t>无。</w:t>
      </w:r>
    </w:p>
    <w:p w14:paraId="0C02FDFD">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18.5阶段验收</w:t>
      </w:r>
    </w:p>
    <w:p w14:paraId="051C5C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本合同工程阶段验收类别包括：</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43CDD74C">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18.6专项验收</w:t>
      </w:r>
    </w:p>
    <w:p w14:paraId="43A4F87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本合同工程专项验收类别包括：</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5F1FB7AC">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18.7竣工验收</w:t>
      </w:r>
    </w:p>
    <w:p w14:paraId="55C6EEB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w:t>
      </w:r>
      <w:r>
        <w:rPr>
          <w:rFonts w:hint="eastAsia" w:ascii="宋体" w:hAnsi="宋体" w:eastAsia="宋体" w:cs="宋体"/>
          <w:color w:val="auto"/>
          <w:sz w:val="24"/>
          <w:szCs w:val="24"/>
          <w:highlight w:val="none"/>
          <w:u w:val="single"/>
        </w:rPr>
        <w:t>（签约后填入）</w:t>
      </w:r>
      <w:r>
        <w:rPr>
          <w:rFonts w:hint="eastAsia" w:ascii="宋体" w:hAnsi="宋体" w:eastAsia="宋体" w:cs="宋体"/>
          <w:color w:val="auto"/>
          <w:sz w:val="24"/>
          <w:szCs w:val="24"/>
          <w:highlight w:val="none"/>
        </w:rPr>
        <w:t>（需要／不需要）竣工验收技术鉴定（蓄水安全鉴定）。</w:t>
      </w:r>
    </w:p>
    <w:p w14:paraId="1DFED0B7">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18.8施工期运行</w:t>
      </w:r>
    </w:p>
    <w:p w14:paraId="4A8095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需要在施工期运行的单位工程或工程设备为：</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08E689E2">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18.9试运行</w:t>
      </w:r>
    </w:p>
    <w:p w14:paraId="2EB6B0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试运行的组织：</w:t>
      </w:r>
      <w:r>
        <w:rPr>
          <w:rFonts w:hint="eastAsia" w:ascii="宋体" w:hAnsi="宋体" w:eastAsia="宋体" w:cs="宋体"/>
          <w:color w:val="auto"/>
          <w:sz w:val="24"/>
          <w:szCs w:val="24"/>
          <w:highlight w:val="none"/>
          <w:u w:val="single"/>
        </w:rPr>
        <w:t>由承包方组织</w:t>
      </w:r>
      <w:r>
        <w:rPr>
          <w:rFonts w:hint="eastAsia" w:ascii="宋体" w:hAnsi="宋体" w:eastAsia="宋体" w:cs="宋体"/>
          <w:color w:val="auto"/>
          <w:sz w:val="24"/>
          <w:szCs w:val="24"/>
          <w:highlight w:val="none"/>
        </w:rPr>
        <w:t>；费用承担：</w:t>
      </w:r>
      <w:r>
        <w:rPr>
          <w:rFonts w:hint="eastAsia" w:ascii="宋体" w:hAnsi="宋体" w:eastAsia="宋体" w:cs="宋体"/>
          <w:color w:val="auto"/>
          <w:sz w:val="24"/>
          <w:szCs w:val="24"/>
          <w:highlight w:val="none"/>
          <w:u w:val="single"/>
        </w:rPr>
        <w:t>承包方</w:t>
      </w:r>
      <w:r>
        <w:rPr>
          <w:rFonts w:hint="eastAsia" w:ascii="宋体" w:hAnsi="宋体" w:eastAsia="宋体" w:cs="宋体"/>
          <w:color w:val="auto"/>
          <w:sz w:val="24"/>
          <w:szCs w:val="24"/>
          <w:highlight w:val="none"/>
        </w:rPr>
        <w:t>。</w:t>
      </w:r>
    </w:p>
    <w:p w14:paraId="55E869D7">
      <w:pPr>
        <w:pStyle w:val="5"/>
        <w:spacing w:before="156" w:beforeLines="50" w:after="156" w:afterLines="50"/>
        <w:rPr>
          <w:rFonts w:hint="eastAsia" w:ascii="宋体" w:hAnsi="宋体" w:eastAsia="宋体" w:cs="宋体"/>
          <w:color w:val="auto"/>
          <w:highlight w:val="none"/>
        </w:rPr>
      </w:pPr>
      <w:bookmarkStart w:id="62" w:name="_Toc265408532"/>
      <w:r>
        <w:rPr>
          <w:rFonts w:hint="eastAsia" w:ascii="宋体" w:hAnsi="宋体" w:eastAsia="宋体" w:cs="宋体"/>
          <w:color w:val="auto"/>
          <w:highlight w:val="none"/>
        </w:rPr>
        <w:t>19缺陷责任与保修责任</w:t>
      </w:r>
      <w:bookmarkEnd w:id="62"/>
    </w:p>
    <w:p w14:paraId="0C790A8C">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19.1缺陷责任期（工程质量保修期）的起算时间</w:t>
      </w:r>
    </w:p>
    <w:p w14:paraId="717BD463">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本工程缺陷责任期（工程质量保修期）计算如下：</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none"/>
          <w:lang w:val="en-US" w:eastAsia="zh-CN"/>
        </w:rPr>
        <w:t>。</w:t>
      </w:r>
    </w:p>
    <w:p w14:paraId="2628CEF6">
      <w:pPr>
        <w:pStyle w:val="5"/>
        <w:spacing w:before="156" w:beforeLines="50" w:after="156" w:afterLines="50"/>
        <w:rPr>
          <w:rFonts w:hint="eastAsia" w:ascii="宋体" w:hAnsi="宋体" w:eastAsia="宋体" w:cs="宋体"/>
          <w:b/>
          <w:bCs/>
          <w:color w:val="auto"/>
          <w:highlight w:val="none"/>
        </w:rPr>
      </w:pPr>
      <w:bookmarkStart w:id="63" w:name="_Toc265408534"/>
      <w:r>
        <w:rPr>
          <w:rFonts w:hint="eastAsia" w:ascii="宋体" w:hAnsi="宋体" w:eastAsia="宋体" w:cs="宋体"/>
          <w:b/>
          <w:bCs/>
          <w:color w:val="auto"/>
          <w:highlight w:val="none"/>
        </w:rPr>
        <w:t>2</w:t>
      </w:r>
      <w:r>
        <w:rPr>
          <w:rFonts w:hint="eastAsia" w:ascii="宋体" w:hAnsi="宋体" w:eastAsia="宋体" w:cs="宋体"/>
          <w:b/>
          <w:bCs/>
          <w:color w:val="auto"/>
          <w:highlight w:val="none"/>
          <w:lang w:val="en-US" w:eastAsia="zh-CN"/>
        </w:rPr>
        <w:t>0</w:t>
      </w:r>
      <w:r>
        <w:rPr>
          <w:rFonts w:hint="eastAsia" w:ascii="宋体" w:hAnsi="宋体" w:eastAsia="宋体" w:cs="宋体"/>
          <w:b/>
          <w:bCs/>
          <w:color w:val="auto"/>
          <w:highlight w:val="none"/>
        </w:rPr>
        <w:t>争议的解决</w:t>
      </w:r>
      <w:bookmarkEnd w:id="63"/>
    </w:p>
    <w:p w14:paraId="61326E61">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.1争议的解决方式</w:t>
      </w:r>
    </w:p>
    <w:p w14:paraId="7BE9E343">
      <w:pPr>
        <w:tabs>
          <w:tab w:val="left" w:pos="735"/>
        </w:tabs>
        <w:autoSpaceDE w:val="0"/>
        <w:autoSpaceDN w:val="0"/>
        <w:adjustRightInd w:val="0"/>
        <w:snapToGrid w:val="0"/>
        <w:spacing w:line="360" w:lineRule="auto"/>
        <w:ind w:firstLine="600" w:firstLineChars="250"/>
        <w:rPr>
          <w:rFonts w:hint="eastAsia" w:ascii="宋体" w:hAnsi="宋体" w:eastAsia="宋体" w:cs="宋体"/>
          <w:color w:val="auto"/>
          <w:sz w:val="32"/>
          <w:szCs w:val="32"/>
          <w:highlight w:val="none"/>
        </w:rPr>
      </w:pPr>
      <w:r>
        <w:rPr>
          <w:rFonts w:hint="eastAsia" w:ascii="宋体" w:hAnsi="宋体" w:eastAsia="宋体" w:cs="宋体"/>
          <w:color w:val="auto"/>
          <w:sz w:val="24"/>
          <w:szCs w:val="24"/>
          <w:highlight w:val="none"/>
        </w:rPr>
        <w:t>合同当事人友好协商解决不成、不愿提请争议评审或不接受争议评审组意见的，约定的合同争议解决方式：</w:t>
      </w:r>
      <w:r>
        <w:rPr>
          <w:rFonts w:hint="eastAsia" w:ascii="宋体" w:hAnsi="宋体" w:eastAsia="宋体" w:cs="宋体"/>
          <w:color w:val="auto"/>
          <w:sz w:val="24"/>
          <w:szCs w:val="24"/>
          <w:highlight w:val="none"/>
          <w:u w:val="single"/>
        </w:rPr>
        <w:t>仲裁</w:t>
      </w:r>
      <w:r>
        <w:rPr>
          <w:rFonts w:hint="eastAsia" w:ascii="宋体" w:hAnsi="宋体" w:eastAsia="宋体" w:cs="宋体"/>
          <w:color w:val="auto"/>
          <w:sz w:val="24"/>
          <w:szCs w:val="24"/>
          <w:highlight w:val="none"/>
        </w:rPr>
        <w:t>。</w:t>
      </w:r>
    </w:p>
    <w:p w14:paraId="46587D96">
      <w:pPr>
        <w:pStyle w:val="3"/>
        <w:bidi w:val="0"/>
        <w:jc w:val="center"/>
        <w:rPr>
          <w:rFonts w:hint="eastAsia" w:ascii="宋体" w:hAnsi="宋体" w:eastAsia="宋体" w:cs="宋体"/>
          <w:color w:val="auto"/>
          <w:highlight w:val="none"/>
        </w:rPr>
        <w:sectPr>
          <w:pgSz w:w="11906" w:h="16838"/>
          <w:pgMar w:top="1417" w:right="1417" w:bottom="1417" w:left="1417" w:header="851" w:footer="992" w:gutter="0"/>
          <w:pgNumType w:fmt="decimal"/>
          <w:cols w:space="720" w:num="1"/>
          <w:docGrid w:type="lines" w:linePitch="312" w:charSpace="0"/>
        </w:sectPr>
      </w:pPr>
      <w:bookmarkStart w:id="64" w:name="_Toc939"/>
      <w:bookmarkStart w:id="65" w:name="_Toc17838"/>
    </w:p>
    <w:bookmarkEnd w:id="64"/>
    <w:bookmarkEnd w:id="65"/>
    <w:p w14:paraId="051E0465">
      <w:pPr>
        <w:spacing w:line="360" w:lineRule="auto"/>
        <w:jc w:val="center"/>
        <w:outlineLvl w:val="2"/>
        <w:rPr>
          <w:rFonts w:hint="eastAsia" w:ascii="宋体" w:hAnsi="宋体" w:eastAsia="宋体" w:cs="宋体"/>
          <w:b/>
          <w:color w:val="auto"/>
          <w:sz w:val="32"/>
          <w:highlight w:val="none"/>
        </w:rPr>
      </w:pPr>
      <w:r>
        <w:rPr>
          <w:rFonts w:hint="eastAsia" w:ascii="宋体" w:hAnsi="宋体" w:eastAsia="宋体" w:cs="宋体"/>
          <w:b/>
          <w:color w:val="auto"/>
          <w:sz w:val="32"/>
          <w:highlight w:val="none"/>
        </w:rPr>
        <w:t>合同协议书</w:t>
      </w:r>
    </w:p>
    <w:p w14:paraId="57BAAC9C">
      <w:pPr>
        <w:autoSpaceDE w:val="0"/>
        <w:autoSpaceDN w:val="0"/>
        <w:adjustRightInd w:val="0"/>
        <w:spacing w:line="240" w:lineRule="auto"/>
        <w:ind w:left="479" w:leftChars="228"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发包人名称，以下简称“发包人”</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rPr>
        <w:t>为实施</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，己接受</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（承包人名称，以下简称“承包人”）</w:t>
      </w:r>
      <w:r>
        <w:rPr>
          <w:rFonts w:hint="eastAsia" w:ascii="宋体" w:hAnsi="宋体" w:eastAsia="宋体" w:cs="宋体"/>
          <w:color w:val="auto"/>
          <w:sz w:val="24"/>
          <w:szCs w:val="24"/>
          <w:highlight w:val="none"/>
        </w:rPr>
        <w:t>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（项目名称）（标段名称）</w:t>
      </w:r>
      <w:r>
        <w:rPr>
          <w:rFonts w:hint="eastAsia" w:ascii="宋体" w:hAnsi="宋体" w:eastAsia="宋体" w:cs="宋体"/>
          <w:color w:val="auto"/>
          <w:sz w:val="24"/>
          <w:szCs w:val="24"/>
          <w:highlight w:val="none"/>
        </w:rPr>
        <w:t>的投标，并确定其为中标人。发包人和承包人共同达成如下协议。</w:t>
      </w:r>
    </w:p>
    <w:p w14:paraId="2D5D03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1．本协议书与下列文件一起构成合同文件：</w:t>
      </w:r>
    </w:p>
    <w:p w14:paraId="0ED576C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（l）中标通知书；</w:t>
      </w:r>
    </w:p>
    <w:p w14:paraId="7DCC7C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（2）投标函及投标函附录；</w:t>
      </w:r>
    </w:p>
    <w:p w14:paraId="34ACD3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（3）专用合同条款；</w:t>
      </w:r>
    </w:p>
    <w:p w14:paraId="04E1B4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（4）通用合同条款；</w:t>
      </w:r>
    </w:p>
    <w:p w14:paraId="2AD248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（5）技术标准和要求（合同技术条款）；</w:t>
      </w:r>
    </w:p>
    <w:p w14:paraId="2BC6F6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w:t>
      </w:r>
    </w:p>
    <w:p w14:paraId="5EE5A0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（7）己标价工程量清单；</w:t>
      </w:r>
    </w:p>
    <w:p w14:paraId="29A8276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（8）其他合同文件。</w:t>
      </w:r>
    </w:p>
    <w:p w14:paraId="7DAFCA7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2．上述文件互相补充和解释，如有不明确或不一致之处，以合同约定次序在先者为准。</w:t>
      </w:r>
    </w:p>
    <w:p w14:paraId="65075E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3．签约合同价：人民币（大写）</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（￥元）。</w:t>
      </w:r>
    </w:p>
    <w:p w14:paraId="557EFF0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4．承包人项目经理：</w:t>
      </w:r>
    </w:p>
    <w:p w14:paraId="3B6FBC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5．工程质量符合标准。</w:t>
      </w:r>
    </w:p>
    <w:p w14:paraId="32E94C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6．承包人承诺按合同约定承担工程的实施、完成及缺陷修复。</w:t>
      </w:r>
    </w:p>
    <w:p w14:paraId="7C4020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7．发包人承诺按合同约定的条件、时间和方式向承包人支付合同价款。</w:t>
      </w:r>
    </w:p>
    <w:p w14:paraId="4E4151E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8．承包人承诺执行监理人开工通知，工期为天。</w:t>
      </w:r>
    </w:p>
    <w:p w14:paraId="4166BD4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9．本协议书一式份，合同双方各执一份。</w:t>
      </w:r>
    </w:p>
    <w:p w14:paraId="1625D9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10．合同未尽事宜，双方另行签订补充协议。补充协议是合同的组成部分。</w:t>
      </w:r>
    </w:p>
    <w:p w14:paraId="0875B2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发包人：（盖单位章）承包人：（盖单位章）</w:t>
      </w:r>
    </w:p>
    <w:p w14:paraId="08465E88">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法定代表人或其委托代理人：（签字）法定代表人或其委托代理人：（签字）</w:t>
      </w:r>
    </w:p>
    <w:p w14:paraId="2C053971">
      <w:pPr>
        <w:bidi w:val="0"/>
        <w:ind w:firstLine="720" w:firstLineChars="300"/>
        <w:jc w:val="both"/>
        <w:outlineLvl w:val="9"/>
        <w:rPr>
          <w:rFonts w:hint="eastAsia" w:ascii="宋体" w:hAnsi="宋体" w:eastAsia="宋体" w:cs="宋体"/>
          <w:b w:val="0"/>
          <w:bCs w:val="0"/>
          <w:color w:val="auto"/>
          <w:kern w:val="2"/>
          <w:sz w:val="21"/>
          <w:szCs w:val="21"/>
          <w:highlight w:val="none"/>
          <w:lang w:val="en-US" w:eastAsia="zh-CN" w:bidi="ar-SA"/>
        </w:rPr>
        <w:sectPr>
          <w:pgSz w:w="11906" w:h="16838"/>
          <w:pgMar w:top="1417" w:right="1417" w:bottom="1417" w:left="1417" w:header="851" w:footer="992" w:gutter="0"/>
          <w:pgNumType w:fmt="decimal"/>
          <w:cols w:space="720" w:num="1"/>
          <w:docGrid w:type="lines" w:linePitch="312" w:charSpace="0"/>
        </w:sectPr>
      </w:pPr>
      <w:r>
        <w:rPr>
          <w:rFonts w:hint="eastAsia" w:ascii="宋体" w:hAnsi="宋体" w:eastAsia="宋体" w:cs="宋体"/>
          <w:b w:val="0"/>
          <w:bCs w:val="0"/>
          <w:color w:val="auto"/>
          <w:kern w:val="2"/>
          <w:sz w:val="24"/>
          <w:szCs w:val="24"/>
          <w:highlight w:val="none"/>
          <w:lang w:val="en-US" w:eastAsia="zh-CN" w:bidi="ar-SA"/>
        </w:rPr>
        <w:t>年月日年月日</w:t>
      </w:r>
    </w:p>
    <w:p w14:paraId="3540E6E1">
      <w:pPr>
        <w:spacing w:line="360" w:lineRule="auto"/>
        <w:jc w:val="center"/>
        <w:outlineLvl w:val="2"/>
        <w:rPr>
          <w:rFonts w:hint="eastAsia" w:ascii="宋体" w:hAnsi="宋体" w:eastAsia="宋体" w:cs="宋体"/>
          <w:b/>
          <w:color w:val="auto"/>
          <w:sz w:val="32"/>
          <w:highlight w:val="none"/>
        </w:rPr>
      </w:pPr>
      <w:r>
        <w:rPr>
          <w:rFonts w:hint="eastAsia" w:ascii="宋体" w:hAnsi="宋体" w:eastAsia="宋体" w:cs="宋体"/>
          <w:b/>
          <w:color w:val="auto"/>
          <w:sz w:val="32"/>
          <w:highlight w:val="none"/>
        </w:rPr>
        <w:t>施工安全协议书</w:t>
      </w:r>
    </w:p>
    <w:p w14:paraId="392EEF17">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甲方：____________________________________</w:t>
      </w:r>
    </w:p>
    <w:p w14:paraId="04B8B841">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乙方：____________________________________</w:t>
      </w:r>
    </w:p>
    <w:p w14:paraId="0A309A7B">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为加强施工现场的标准化管理，落实安全生产工作责任制，确保安全、文明施工、环保卫生等工作达到预期目标。经甲乙双方平等协商，自愿签订本安全协议，并共同遵守。</w:t>
      </w:r>
    </w:p>
    <w:p w14:paraId="41B7B60B">
      <w:pPr>
        <w:keepNext w:val="0"/>
        <w:keepLines w:val="0"/>
        <w:pageBreakBefore w:val="0"/>
        <w:kinsoku/>
        <w:wordWrap/>
        <w:overflowPunct/>
        <w:topLinePunct w:val="0"/>
        <w:autoSpaceDE/>
        <w:autoSpaceDN/>
        <w:bidi w:val="0"/>
        <w:adjustRightInd/>
        <w:snapToGrid/>
        <w:spacing w:line="360" w:lineRule="auto"/>
        <w:ind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一、安全管理目标</w:t>
      </w:r>
    </w:p>
    <w:p w14:paraId="6974D5FE">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1、杜绝大小事故的发生，安全隐患整改率必须达到100%;</w:t>
      </w:r>
    </w:p>
    <w:p w14:paraId="6EF79BF8">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2、必须达到各项安全生产检查标准;</w:t>
      </w:r>
    </w:p>
    <w:p w14:paraId="30FEC40C">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3、不发生重大安全伤亡事故。</w:t>
      </w:r>
    </w:p>
    <w:p w14:paraId="79B796E1">
      <w:pPr>
        <w:keepNext w:val="0"/>
        <w:keepLines w:val="0"/>
        <w:pageBreakBefore w:val="0"/>
        <w:kinsoku/>
        <w:wordWrap/>
        <w:overflowPunct/>
        <w:topLinePunct w:val="0"/>
        <w:autoSpaceDE/>
        <w:autoSpaceDN/>
        <w:bidi w:val="0"/>
        <w:adjustRightInd/>
        <w:snapToGrid/>
        <w:spacing w:line="360" w:lineRule="auto"/>
        <w:ind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二、双方责任</w:t>
      </w:r>
    </w:p>
    <w:p w14:paraId="4D2E8F21">
      <w:pPr>
        <w:keepNext w:val="0"/>
        <w:keepLines w:val="0"/>
        <w:pageBreakBefore w:val="0"/>
        <w:kinsoku/>
        <w:wordWrap/>
        <w:overflowPunct/>
        <w:topLinePunct w:val="0"/>
        <w:autoSpaceDE/>
        <w:autoSpaceDN/>
        <w:bidi w:val="0"/>
        <w:adjustRightInd/>
        <w:snapToGrid/>
        <w:spacing w:line="360" w:lineRule="auto"/>
        <w:ind w:right="0"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(一)甲方责任</w:t>
      </w:r>
    </w:p>
    <w:p w14:paraId="7BAD146E">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负责对乙方在施工过程中的安全生产、文明施工、劳务使用等进行监督、协调、检查、处罚的权利。对违反项目管理制度的行为行使经济处罚和辞退的权利。</w:t>
      </w:r>
    </w:p>
    <w:p w14:paraId="529CDFC9">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(二)乙方责任</w:t>
      </w:r>
    </w:p>
    <w:p w14:paraId="64283967">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1、严格执行安全技术交底。严格执行工序质量操作程序，确保当天工完场清，责任区材料堆放整齐、环境安全整洁。</w:t>
      </w:r>
    </w:p>
    <w:p w14:paraId="4FE83E4D">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2、严格执行项目部制定的各项安全生产、文明施工的规章制度。有权拒绝违章指挥，杜绝违章作业。不发生人身伤亡、机械、火灾事故。</w:t>
      </w:r>
    </w:p>
    <w:p w14:paraId="43F2096F">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3、因工违章受伤时，立即向甲方经理和乙方项目负责人报告，并接受甲方人员调查，24小时后补报，不予受理。在工地以外，非甲方安排的作业，出现事故时，甲方不予受理。</w:t>
      </w:r>
    </w:p>
    <w:p w14:paraId="261C680C">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4、乙方违反协议造成事故时，应对人员伤亡和财产损失负全部责任。</w:t>
      </w:r>
    </w:p>
    <w:p w14:paraId="4A9A3546">
      <w:pPr>
        <w:keepNext w:val="0"/>
        <w:keepLines w:val="0"/>
        <w:pageBreakBefore w:val="0"/>
        <w:kinsoku/>
        <w:wordWrap/>
        <w:overflowPunct/>
        <w:topLinePunct w:val="0"/>
        <w:autoSpaceDE/>
        <w:autoSpaceDN/>
        <w:bidi w:val="0"/>
        <w:adjustRightInd/>
        <w:snapToGrid/>
        <w:spacing w:line="360" w:lineRule="auto"/>
        <w:ind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三、具体要求</w:t>
      </w:r>
    </w:p>
    <w:p w14:paraId="72A9329A">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1、遵守工作时间，有事请假，不得擅离工作岗位。</w:t>
      </w:r>
    </w:p>
    <w:p w14:paraId="693CFF2A">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2、热爱本职工作，工作积极性高，奉公守法，能吃苦耐劳。</w:t>
      </w:r>
    </w:p>
    <w:p w14:paraId="4433A21F">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3、努力学习安全技术知识，熟悉各种安全技术措施，精通安全技术操作要求，熟悉项目部规章制度、管理标准。</w:t>
      </w:r>
    </w:p>
    <w:p w14:paraId="3613028C">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4、坚决制止违章作业，按章办事。遇险情要停止作业，立即报告。</w:t>
      </w:r>
    </w:p>
    <w:p w14:paraId="65C39CBC">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5、进入施工现场必须戴好安全帽，高空作业必须系好安全带，必须熟悉本工种的安全技术操作规程。</w:t>
      </w:r>
    </w:p>
    <w:p w14:paraId="260FC5A6">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积极参加安全活动，认真执行安全交底。不违章作业，服从安全人员的指导。在安全生产方面做到互相帮助，互相监督。对新人要积极传授安全生产知识。维护一切安全设备和防护用具，不擅自拆改任何安全技术设施。对不安全作业要积极提出</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"http://www.xuexila.com/fanwen/yijian/" \t "_blank"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意见</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，并有权拒绝违章指令。发生伤亡和未遂事故要保护现场并立即上报。</w:t>
      </w:r>
    </w:p>
    <w:p w14:paraId="78DC04C8">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7、不擅自开动他人使用的施工机械、机电设备。</w:t>
      </w:r>
    </w:p>
    <w:p w14:paraId="5FD4597E">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8、认真执行成品保护措施，严禁损坏污染成品。</w:t>
      </w:r>
    </w:p>
    <w:p w14:paraId="31016816">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9、讲究卫生，严禁在施工现场随地大小便。</w:t>
      </w:r>
    </w:p>
    <w:p w14:paraId="2EED6969">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10、宿舍内要保持整洁、有序。生活区周围应保持卫生。污物和污水、生活垃圾要集中堆放及时</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"http://www.xuexila.com/shenghuo/shoujiqingli/" \t "_blank"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清理</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。严禁使用电炉、电饭锅及所有电力加热器。禁止私拉乱接电源线路。</w:t>
      </w:r>
    </w:p>
    <w:p w14:paraId="03F3649F">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11、特种作业人员必须持证上岗，并严格遵守有关的安全技术操作规程。</w:t>
      </w:r>
    </w:p>
    <w:p w14:paraId="7312BB20">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12、遵守国家的法律、法规，不发生打架斗殴、赌博、流氓行为进入施工现场作业前，必须先把身份证复印件交安全部备案，并且接受安全教育，签订安全协议书，否则不得进入现场施工。</w:t>
      </w:r>
    </w:p>
    <w:p w14:paraId="4A6FA0BC">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13、严格遵守施工定额，照合同办事，严禁在结算工资时无理取闹及乱投诉等现象。</w:t>
      </w:r>
    </w:p>
    <w:p w14:paraId="55583263">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四、对于下列情况之一的，甲方给予罚款或者令其停止上班，情节特别恶劣的清退出施工现场。</w:t>
      </w:r>
    </w:p>
    <w:p w14:paraId="51FFCD38">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1、严重违反安全操作规程，事故隐患严重直接危及他人生命安全的。</w:t>
      </w:r>
    </w:p>
    <w:p w14:paraId="35389446">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2、违章违纪较多，经教育指出后不改者，造成事故或影响安全生产评比、达标的。</w:t>
      </w:r>
    </w:p>
    <w:p w14:paraId="6A5D608C">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3、擅自动用他人使用的施工机械、电动设备而造成事故的。</w:t>
      </w:r>
    </w:p>
    <w:p w14:paraId="47233FD4">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4、违反劳动纪律、违章作业、野蛮施工及不遵守规章制度的。</w:t>
      </w:r>
    </w:p>
    <w:p w14:paraId="10E9D122">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五、本安全生产协议一式份，各自双方签字后生效。</w:t>
      </w:r>
    </w:p>
    <w:p w14:paraId="31FDCAF1">
      <w:pPr>
        <w:keepNext w:val="0"/>
        <w:keepLines w:val="0"/>
        <w:pageBreakBefore w:val="0"/>
        <w:widowControl/>
        <w:kinsoku/>
        <w:wordWrap/>
        <w:overflowPunct/>
        <w:topLinePunct w:val="0"/>
        <w:autoSpaceDE/>
        <w:autoSpaceDN/>
        <w:bidi w:val="0"/>
        <w:adjustRightInd/>
        <w:snapToGrid/>
        <w:spacing w:line="24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w:t>
      </w:r>
      <w:r>
        <w:rPr>
          <w:rFonts w:hint="eastAsia" w:ascii="宋体" w:hAnsi="宋体" w:eastAsia="宋体" w:cs="宋体"/>
          <w:color w:val="auto"/>
          <w:sz w:val="24"/>
          <w:szCs w:val="24"/>
          <w:highlight w:val="none"/>
          <w:u w:val="single"/>
        </w:rPr>
        <w:t>（盖单位章）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承包人：</w:t>
      </w:r>
      <w:r>
        <w:rPr>
          <w:rFonts w:hint="eastAsia" w:ascii="宋体" w:hAnsi="宋体" w:eastAsia="宋体" w:cs="宋体"/>
          <w:color w:val="auto"/>
          <w:sz w:val="24"/>
          <w:szCs w:val="24"/>
          <w:highlight w:val="none"/>
          <w:u w:val="single"/>
        </w:rPr>
        <w:t>（盖单位章）</w:t>
      </w:r>
    </w:p>
    <w:p w14:paraId="28FFB32D">
      <w:pPr>
        <w:keepNext w:val="0"/>
        <w:keepLines w:val="0"/>
        <w:pageBreakBefore w:val="0"/>
        <w:widowControl/>
        <w:kinsoku/>
        <w:wordWrap/>
        <w:overflowPunct/>
        <w:topLinePunct w:val="0"/>
        <w:autoSpaceDE/>
        <w:autoSpaceDN/>
        <w:bidi w:val="0"/>
        <w:adjustRightInd/>
        <w:snapToGrid/>
        <w:spacing w:line="240" w:lineRule="auto"/>
        <w:ind w:righ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法定代表人法定代表人</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法定代表人法定代表人</w:t>
      </w:r>
    </w:p>
    <w:p w14:paraId="4A556B5C">
      <w:pPr>
        <w:keepNext w:val="0"/>
        <w:keepLines w:val="0"/>
        <w:pageBreakBefore w:val="0"/>
        <w:widowControl/>
        <w:kinsoku/>
        <w:wordWrap/>
        <w:overflowPunct/>
        <w:topLinePunct w:val="0"/>
        <w:autoSpaceDE/>
        <w:autoSpaceDN/>
        <w:bidi w:val="0"/>
        <w:adjustRightInd/>
        <w:snapToGrid/>
        <w:spacing w:line="24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w:t>
      </w:r>
      <w:r>
        <w:rPr>
          <w:rFonts w:hint="eastAsia" w:ascii="宋体" w:hAnsi="宋体" w:eastAsia="宋体" w:cs="宋体"/>
          <w:color w:val="auto"/>
          <w:sz w:val="24"/>
          <w:szCs w:val="24"/>
          <w:highlight w:val="none"/>
          <w:u w:val="single"/>
        </w:rPr>
        <w:t>（签字）</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或其委托代理人：</w:t>
      </w:r>
      <w:r>
        <w:rPr>
          <w:rFonts w:hint="eastAsia" w:ascii="宋体" w:hAnsi="宋体" w:eastAsia="宋体" w:cs="宋体"/>
          <w:color w:val="auto"/>
          <w:sz w:val="24"/>
          <w:szCs w:val="24"/>
          <w:highlight w:val="none"/>
          <w:u w:val="single"/>
        </w:rPr>
        <w:t>（签字）</w:t>
      </w:r>
    </w:p>
    <w:p w14:paraId="1FD0178C">
      <w:pPr>
        <w:keepNext w:val="0"/>
        <w:keepLines w:val="0"/>
        <w:pageBreakBefore w:val="0"/>
        <w:widowControl/>
        <w:kinsoku/>
        <w:wordWrap/>
        <w:overflowPunct/>
        <w:topLinePunct w:val="0"/>
        <w:autoSpaceDE/>
        <w:autoSpaceDN/>
        <w:bidi w:val="0"/>
        <w:adjustRightInd/>
        <w:snapToGrid/>
        <w:spacing w:line="240" w:lineRule="auto"/>
        <w:ind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12A93143">
      <w:pPr>
        <w:rPr>
          <w:rFonts w:hint="eastAsia"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br w:type="page"/>
      </w:r>
    </w:p>
    <w:p w14:paraId="01EEEA0E">
      <w:pPr>
        <w:jc w:val="center"/>
        <w:outlineLvl w:val="2"/>
        <w:rPr>
          <w:rFonts w:hint="eastAsia" w:ascii="宋体" w:hAnsi="宋体" w:eastAsia="宋体" w:cs="宋体"/>
          <w:b/>
          <w:bCs/>
          <w:color w:val="auto"/>
          <w:sz w:val="30"/>
          <w:szCs w:val="30"/>
          <w:highlight w:val="none"/>
        </w:rPr>
      </w:pPr>
      <w:r>
        <w:rPr>
          <w:rFonts w:hint="eastAsia" w:ascii="宋体" w:hAnsi="宋体" w:eastAsia="宋体" w:cs="宋体"/>
          <w:b/>
          <w:bCs/>
          <w:color w:val="auto"/>
          <w:kern w:val="0"/>
          <w:sz w:val="30"/>
          <w:szCs w:val="30"/>
          <w:highlight w:val="none"/>
        </w:rPr>
        <w:t>廉政合同</w:t>
      </w:r>
    </w:p>
    <w:p w14:paraId="5C5E6F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关于在交通基础设施建设中加强廉政建设的若干意见》以及有关工程建设、廉政建设的规定，为做好工程建设中的党风廉政建设，保证工程建设高效优质，保证建设资金的安全和有效使用以及投资效益，的项目法人</w:t>
      </w:r>
      <w:r>
        <w:rPr>
          <w:rFonts w:hint="eastAsia" w:ascii="宋体" w:hAnsi="宋体" w:eastAsia="宋体" w:cs="宋体"/>
          <w:color w:val="auto"/>
          <w:sz w:val="24"/>
          <w:szCs w:val="24"/>
          <w:highlight w:val="none"/>
          <w:u w:val="single"/>
          <w:lang w:eastAsia="zh-CN"/>
        </w:rPr>
        <w:t>周至县广济敬老院</w:t>
      </w:r>
      <w:r>
        <w:rPr>
          <w:rFonts w:hint="eastAsia" w:ascii="宋体" w:hAnsi="宋体" w:eastAsia="宋体" w:cs="宋体"/>
          <w:color w:val="auto"/>
          <w:sz w:val="24"/>
          <w:szCs w:val="24"/>
          <w:highlight w:val="none"/>
        </w:rPr>
        <w:t>（以下简称“发包人”）与该项目的施工单位（以下简称“承包人”），特订立如下合同。</w:t>
      </w:r>
    </w:p>
    <w:p w14:paraId="1CB087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1.发包人和承包人双方的权利和义务</w:t>
      </w:r>
    </w:p>
    <w:p w14:paraId="143F27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（1）严格遵守党的政策规定和国家有关法律法规及交通运输部的有关规定。</w:t>
      </w:r>
    </w:p>
    <w:p w14:paraId="0D7D2C6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（2）严格执行合同文件，自觉按合同办事。</w:t>
      </w:r>
    </w:p>
    <w:p w14:paraId="15D57B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（3）双方的业务活动坚持公开、公正、诚信、透明的原则（法律认定的商业秘密和合同文件另有规定除外），不得损害国家和集体利益，不得违反工程建设管理规章制度。</w:t>
      </w:r>
    </w:p>
    <w:p w14:paraId="51630AB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（4）建立健全廉政制度，开展廉政教育，设立廉政告示牌，公布举报电话，监督并认真查处违法违纪行为。</w:t>
      </w:r>
    </w:p>
    <w:p w14:paraId="700A1E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（5）发现对方在业务活动中有违反廉政规定的行为，有及时提醒对方纠正的权利和义务。</w:t>
      </w:r>
    </w:p>
    <w:p w14:paraId="72E1679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（6）发现对方严重违反本合同义务条款的行为，有向其上级有关部门举报、建议给予处理并要求告知处理结果的权利。</w:t>
      </w:r>
    </w:p>
    <w:p w14:paraId="479A86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2.发包人的义务</w:t>
      </w:r>
    </w:p>
    <w:p w14:paraId="5B6C34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（1）发包人及其工作人员不得索要或接受承包人的礼金、有价证券和贵重物品，不得让承包人报销任何应由发包人或发包人工作人员个人支付的费用等。</w:t>
      </w:r>
    </w:p>
    <w:p w14:paraId="757A1DB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（2）发包人工作人员不得参加承包人安排的超标准宴请和娱乐活动；不得接受承包人提供的通讯工具、交通工具和高档办公用品等。</w:t>
      </w:r>
    </w:p>
    <w:p w14:paraId="56B5FD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（3）发包人及其工作人员不得要求或者接受承包人为其住房装修、婚丧嫁娶活动、配偶子女的工作安排以及出国出境、旅游等提供方便等。</w:t>
      </w:r>
    </w:p>
    <w:p w14:paraId="2A3C53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（4）发包人工作人员及其配偶、子女不得从事与发包人工程有关的材料设备供应、工程分包、劳务等经济活动等。</w:t>
      </w:r>
    </w:p>
    <w:p w14:paraId="41C260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（5）发包人及其工作人员不得以任何理由向承包人推荐分包单位或推销材料，不得要求承包人购买合同规定外的材料和设备。</w:t>
      </w:r>
    </w:p>
    <w:p w14:paraId="4E880A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（6）发包人工作人员要秉公办事，不准营私舞弊，不准利用职权从事各种个人有偿中活动和安排个人施工队伍。</w:t>
      </w:r>
    </w:p>
    <w:p w14:paraId="268D47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3.承包人的义务</w:t>
      </w:r>
    </w:p>
    <w:p w14:paraId="2F1110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（1）承包不得以任何理由向发包人及其工作人员行贿或馈赠礼金、有价证券、贵重礼品。</w:t>
      </w:r>
    </w:p>
    <w:p w14:paraId="3622FD4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（2）承包人不得以任何名义为发包人及其工作人员报销应由发包人单位或个人支付的任何费用。</w:t>
      </w:r>
    </w:p>
    <w:p w14:paraId="6963E2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（3）承包不得以任何理由安排发包人工作人员参加超标准宴请及娱乐活动。</w:t>
      </w:r>
    </w:p>
    <w:p w14:paraId="47EE13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（4）承包人不得为发包人单位和个人购置或提供通讯工具、交通工具和高档办公用品等。</w:t>
      </w:r>
    </w:p>
    <w:p w14:paraId="08F17D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4.违约责任</w:t>
      </w:r>
    </w:p>
    <w:p w14:paraId="220DD9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（1）发包人及其工作人员违反本合同第1、2条，按管理权限，依据有关规定给予党纪、政纪或组织处理；涉嫌犯罪的，移交司法机关追究刑事责任；给承包人单位造成经济损失的，应予以赔偿。</w:t>
      </w:r>
    </w:p>
    <w:p w14:paraId="618D132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及其工作人员违反本合同第1、3条，按管理权限，依据有关规定给予党纪、政纪或组织处理；给发包人单位造成经济损失的，应予以赔偿；情节严重的，发包人建议交通主管部门给予承包人一至三年内不得进入其主管的公路建设市场的处罚。</w:t>
      </w:r>
    </w:p>
    <w:p w14:paraId="62FAEDB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14:paraId="51E91F8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6.本合同有效期为发包人和承包人签署之日起至该工程项目竣工验收后止。</w:t>
      </w:r>
    </w:p>
    <w:p w14:paraId="7CA01C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7.本合同作为合同的附件，与工程施工合同具有同等的法律效力，经合同双方签署后立即生效。</w:t>
      </w:r>
    </w:p>
    <w:p w14:paraId="36306F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8.本合同一式份，由发包人和承包人各执份，送交发包人和承包人的监督单位各份。</w:t>
      </w:r>
    </w:p>
    <w:p w14:paraId="735062BA">
      <w:pPr>
        <w:keepNext w:val="0"/>
        <w:keepLines w:val="0"/>
        <w:pageBreakBefore w:val="0"/>
        <w:widowControl/>
        <w:kinsoku/>
        <w:wordWrap/>
        <w:overflowPunct/>
        <w:topLinePunct w:val="0"/>
        <w:autoSpaceDE/>
        <w:autoSpaceDN/>
        <w:bidi w:val="0"/>
        <w:adjustRightInd/>
        <w:snapToGrid/>
        <w:spacing w:line="24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w:t>
      </w:r>
      <w:r>
        <w:rPr>
          <w:rFonts w:hint="eastAsia" w:ascii="宋体" w:hAnsi="宋体" w:eastAsia="宋体" w:cs="宋体"/>
          <w:color w:val="auto"/>
          <w:sz w:val="24"/>
          <w:szCs w:val="24"/>
          <w:highlight w:val="none"/>
          <w:u w:val="single"/>
        </w:rPr>
        <w:t>（盖单位章）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承包人：</w:t>
      </w:r>
      <w:r>
        <w:rPr>
          <w:rFonts w:hint="eastAsia" w:ascii="宋体" w:hAnsi="宋体" w:eastAsia="宋体" w:cs="宋体"/>
          <w:color w:val="auto"/>
          <w:sz w:val="24"/>
          <w:szCs w:val="24"/>
          <w:highlight w:val="none"/>
          <w:u w:val="single"/>
        </w:rPr>
        <w:t>（盖单位章）</w:t>
      </w:r>
    </w:p>
    <w:p w14:paraId="4E5E9197">
      <w:pPr>
        <w:keepNext w:val="0"/>
        <w:keepLines w:val="0"/>
        <w:pageBreakBefore w:val="0"/>
        <w:widowControl/>
        <w:kinsoku/>
        <w:wordWrap/>
        <w:overflowPunct/>
        <w:topLinePunct w:val="0"/>
        <w:autoSpaceDE/>
        <w:autoSpaceDN/>
        <w:bidi w:val="0"/>
        <w:adjustRightInd/>
        <w:snapToGrid/>
        <w:spacing w:line="240" w:lineRule="auto"/>
        <w:ind w:righ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法定代表人法定代表人</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法定代表人法定代表人</w:t>
      </w:r>
    </w:p>
    <w:p w14:paraId="074B570E">
      <w:pPr>
        <w:keepNext w:val="0"/>
        <w:keepLines w:val="0"/>
        <w:pageBreakBefore w:val="0"/>
        <w:widowControl/>
        <w:kinsoku/>
        <w:wordWrap/>
        <w:overflowPunct/>
        <w:topLinePunct w:val="0"/>
        <w:autoSpaceDE/>
        <w:autoSpaceDN/>
        <w:bidi w:val="0"/>
        <w:adjustRightInd/>
        <w:snapToGrid/>
        <w:spacing w:line="24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w:t>
      </w:r>
      <w:r>
        <w:rPr>
          <w:rFonts w:hint="eastAsia" w:ascii="宋体" w:hAnsi="宋体" w:eastAsia="宋体" w:cs="宋体"/>
          <w:color w:val="auto"/>
          <w:sz w:val="24"/>
          <w:szCs w:val="24"/>
          <w:highlight w:val="none"/>
          <w:u w:val="single"/>
        </w:rPr>
        <w:t>（签字）</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或其委托代理人：</w:t>
      </w:r>
      <w:r>
        <w:rPr>
          <w:rFonts w:hint="eastAsia" w:ascii="宋体" w:hAnsi="宋体" w:eastAsia="宋体" w:cs="宋体"/>
          <w:color w:val="auto"/>
          <w:sz w:val="24"/>
          <w:szCs w:val="24"/>
          <w:highlight w:val="none"/>
          <w:u w:val="single"/>
        </w:rPr>
        <w:t>（签字）</w:t>
      </w:r>
    </w:p>
    <w:p w14:paraId="1BC3D412">
      <w:pPr>
        <w:keepNext w:val="0"/>
        <w:keepLines w:val="0"/>
        <w:pageBreakBefore w:val="0"/>
        <w:widowControl/>
        <w:kinsoku/>
        <w:wordWrap/>
        <w:overflowPunct/>
        <w:topLinePunct w:val="0"/>
        <w:autoSpaceDE/>
        <w:autoSpaceDN/>
        <w:bidi w:val="0"/>
        <w:adjustRightInd/>
        <w:snapToGrid/>
        <w:spacing w:line="240" w:lineRule="auto"/>
        <w:ind w:right="0"/>
        <w:jc w:val="center"/>
        <w:textAlignment w:val="auto"/>
        <w:rPr>
          <w:highlight w:val="none"/>
        </w:rPr>
      </w:pP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1E30F">
    <w:pPr>
      <w:pStyle w:val="9"/>
      <w:tabs>
        <w:tab w:val="right" w:pos="8820"/>
        <w:tab w:val="clear" w:pos="8306"/>
      </w:tabs>
      <w:ind w:right="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92F11">
    <w:pPr>
      <w:spacing w:line="209" w:lineRule="auto"/>
      <w:ind w:left="3932"/>
      <w:rPr>
        <w:rFonts w:ascii="宋体" w:hAnsi="宋体" w:eastAsia="宋体" w:cs="宋体"/>
        <w:sz w:val="18"/>
        <w:szCs w:val="18"/>
      </w:rPr>
    </w:pPr>
    <w:r>
      <w:rPr>
        <w:rFonts w:ascii="宋体" w:hAnsi="宋体" w:eastAsia="宋体" w:cs="宋体"/>
        <w:spacing w:val="-8"/>
        <w:sz w:val="18"/>
        <w:szCs w:val="18"/>
      </w:rPr>
      <w:t>第</w:t>
    </w:r>
    <w:r>
      <w:rPr>
        <w:rFonts w:ascii="Times New Roman" w:hAnsi="Times New Roman" w:eastAsia="Times New Roman" w:cs="Times New Roman"/>
        <w:spacing w:val="-8"/>
        <w:sz w:val="18"/>
        <w:szCs w:val="18"/>
      </w:rPr>
      <w:t>1</w:t>
    </w:r>
    <w:r>
      <w:rPr>
        <w:rFonts w:ascii="宋体" w:hAnsi="宋体" w:eastAsia="宋体" w:cs="宋体"/>
        <w:spacing w:val="-8"/>
        <w:sz w:val="18"/>
        <w:szCs w:val="18"/>
      </w:rPr>
      <w:t>页共</w:t>
    </w:r>
    <w:r>
      <w:rPr>
        <w:rFonts w:ascii="Times New Roman" w:hAnsi="Times New Roman" w:eastAsia="Times New Roman" w:cs="Times New Roman"/>
        <w:spacing w:val="-8"/>
        <w:sz w:val="18"/>
        <w:szCs w:val="18"/>
      </w:rPr>
      <w:t>83</w:t>
    </w:r>
    <w:r>
      <w:rPr>
        <w:rFonts w:ascii="宋体" w:hAnsi="宋体" w:eastAsia="宋体" w:cs="宋体"/>
        <w:spacing w:val="-8"/>
        <w:sz w:val="18"/>
        <w:szCs w:val="18"/>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B839DB"/>
    <w:multiLevelType w:val="singleLevel"/>
    <w:tmpl w:val="B3B839DB"/>
    <w:lvl w:ilvl="0" w:tentative="0">
      <w:start w:val="3"/>
      <w:numFmt w:val="decimal"/>
      <w:suff w:val="space"/>
      <w:lvlText w:val="%1、"/>
      <w:lvlJc w:val="left"/>
    </w:lvl>
  </w:abstractNum>
  <w:abstractNum w:abstractNumId="1">
    <w:nsid w:val="0000000A"/>
    <w:multiLevelType w:val="multilevel"/>
    <w:tmpl w:val="0000000A"/>
    <w:lvl w:ilvl="0" w:tentative="0">
      <w:start w:val="16"/>
      <w:numFmt w:val="bullet"/>
      <w:lvlText w:val="△"/>
      <w:lvlJc w:val="left"/>
      <w:pPr>
        <w:tabs>
          <w:tab w:val="left" w:pos="780"/>
        </w:tabs>
        <w:ind w:left="780" w:hanging="360"/>
      </w:pPr>
      <w:rPr>
        <w:rFonts w:hint="eastAsia" w:ascii="宋体" w:hAnsi="宋体" w:eastAsia="宋体"/>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6E6F80"/>
    <w:rsid w:val="0BC83278"/>
    <w:rsid w:val="0E6E6F80"/>
    <w:rsid w:val="13F444F5"/>
    <w:rsid w:val="1D095F4B"/>
    <w:rsid w:val="1D392A0E"/>
    <w:rsid w:val="36363ACD"/>
    <w:rsid w:val="5D9B1B67"/>
    <w:rsid w:val="70D9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99"/>
    <w:pPr>
      <w:keepNext/>
      <w:jc w:val="center"/>
      <w:outlineLvl w:val="0"/>
    </w:pPr>
    <w:rPr>
      <w:rFonts w:ascii="黑体" w:eastAsia="黑体"/>
      <w:sz w:val="28"/>
      <w:szCs w:val="28"/>
    </w:rPr>
  </w:style>
  <w:style w:type="paragraph" w:styleId="2">
    <w:name w:val="heading 2"/>
    <w:basedOn w:val="1"/>
    <w:next w:val="1"/>
    <w:qFormat/>
    <w:uiPriority w:val="0"/>
    <w:pPr>
      <w:keepNext/>
      <w:keepLines/>
      <w:widowControl w:val="0"/>
      <w:spacing w:before="260" w:after="260" w:line="415" w:lineRule="auto"/>
      <w:outlineLvl w:val="1"/>
    </w:pPr>
    <w:rPr>
      <w:rFonts w:ascii="Arial" w:hAnsi="Arial" w:eastAsia="黑体"/>
      <w:b/>
      <w:sz w:val="32"/>
    </w:rPr>
  </w:style>
  <w:style w:type="paragraph" w:styleId="4">
    <w:name w:val="heading 3"/>
    <w:basedOn w:val="1"/>
    <w:next w:val="1"/>
    <w:qFormat/>
    <w:uiPriority w:val="99"/>
    <w:pPr>
      <w:keepNext/>
      <w:spacing w:line="320" w:lineRule="exact"/>
      <w:outlineLvl w:val="2"/>
    </w:pPr>
    <w:rPr>
      <w:b/>
      <w:bCs/>
      <w:kern w:val="0"/>
      <w:sz w:val="32"/>
      <w:szCs w:val="32"/>
    </w:rPr>
  </w:style>
  <w:style w:type="paragraph" w:styleId="5">
    <w:name w:val="heading 4"/>
    <w:basedOn w:val="1"/>
    <w:next w:val="1"/>
    <w:qFormat/>
    <w:uiPriority w:val="99"/>
    <w:pPr>
      <w:keepNext/>
      <w:spacing w:line="600" w:lineRule="exact"/>
      <w:jc w:val="center"/>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Body Text"/>
    <w:basedOn w:val="1"/>
    <w:next w:val="1"/>
    <w:semiHidden/>
    <w:qFormat/>
    <w:uiPriority w:val="0"/>
    <w:rPr>
      <w:rFonts w:ascii="Arial" w:hAnsi="Arial" w:eastAsia="Arial" w:cs="Arial"/>
      <w:sz w:val="21"/>
      <w:szCs w:val="21"/>
      <w:lang w:val="en-US" w:eastAsia="en-US" w:bidi="ar-SA"/>
    </w:rPr>
  </w:style>
  <w:style w:type="paragraph" w:styleId="7">
    <w:name w:val="Body Text Indent"/>
    <w:basedOn w:val="1"/>
    <w:qFormat/>
    <w:uiPriority w:val="99"/>
    <w:pPr>
      <w:spacing w:line="640" w:lineRule="exact"/>
      <w:ind w:firstLine="585"/>
    </w:pPr>
    <w:rPr>
      <w:kern w:val="0"/>
    </w:rPr>
  </w:style>
  <w:style w:type="paragraph" w:styleId="8">
    <w:name w:val="Plain Text"/>
    <w:basedOn w:val="1"/>
    <w:qFormat/>
    <w:uiPriority w:val="99"/>
    <w:rPr>
      <w:rFonts w:ascii="宋体" w:hAnsi="Courier New"/>
      <w:kern w:val="0"/>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Body Text First Indent"/>
    <w:basedOn w:val="6"/>
    <w:next w:val="11"/>
    <w:unhideWhenUsed/>
    <w:qFormat/>
    <w:uiPriority w:val="0"/>
    <w:pPr>
      <w:ind w:firstLine="420" w:firstLineChars="100"/>
    </w:pPr>
  </w:style>
  <w:style w:type="paragraph" w:styleId="11">
    <w:name w:val="Body Text First Indent 2"/>
    <w:basedOn w:val="7"/>
    <w:next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63</Pages>
  <Words>25686</Words>
  <Characters>27562</Characters>
  <Lines>0</Lines>
  <Paragraphs>0</Paragraphs>
  <TotalTime>23</TotalTime>
  <ScaleCrop>false</ScaleCrop>
  <LinksUpToDate>false</LinksUpToDate>
  <CharactersWithSpaces>27569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2025-07-25T03:13:00Z</dcterms:created>
  <dc:creator>123</dc:creator>
  <cp:lastModifiedBy>123</cp:lastModifiedBy>
  <dcterms:modified xsi:type="dcterms:W3CDTF">2026-04-16T06:53:22Z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B0A46DA901DE40F2BD6D16810EB900A6_11</vt:lpwstr>
  </property>
  <property fmtid="{D5CDD505-2E9C-101B-9397-08002B2CF9AE}" pid="4" name="KSOTemplateDocerSaveRecord">
    <vt:lpwstr>eyJoZGlkIjoiZWNmNjVlNDVjOGM1Y2JmMDg5NjMyODgxODViNzNmOTIiLCJ1c2VySWQiOiIxNTI3NjExNTk1In0=</vt:lpwstr>
  </property>
</Properties>
</file>