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版本号：QH2026-CS-02120260417001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周至县耕地林地空间布局优化试点方案编制工作项目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QH2026-CS-021</w:t>
      </w:r>
      <w:r>
        <w:br/>
      </w:r>
      <w:r>
        <w:br/>
      </w:r>
      <w:r>
        <w:br/>
      </w:r>
    </w:p>
    <w:p>
      <w:pPr>
        <w:pStyle w:val="null3"/>
        <w:jc w:val="center"/>
        <w:outlineLvl w:val="2"/>
      </w:pPr>
      <w:r>
        <w:rPr>
          <w:rFonts w:ascii="仿宋_GB2312" w:hAnsi="仿宋_GB2312" w:cs="仿宋_GB2312" w:eastAsia="仿宋_GB2312"/>
          <w:sz w:val="28"/>
          <w:b/>
        </w:rPr>
        <w:t>周至县自然资源和规划局</w:t>
      </w:r>
    </w:p>
    <w:p>
      <w:pPr>
        <w:pStyle w:val="null3"/>
        <w:jc w:val="center"/>
        <w:outlineLvl w:val="2"/>
      </w:pPr>
      <w:r>
        <w:rPr>
          <w:rFonts w:ascii="仿宋_GB2312" w:hAnsi="仿宋_GB2312" w:cs="仿宋_GB2312" w:eastAsia="仿宋_GB2312"/>
          <w:sz w:val="28"/>
          <w:b/>
        </w:rPr>
        <w:t>陕西启航项目管理咨询有限公司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陕西启航项目管理咨询有限公司</w:t>
      </w:r>
      <w:r>
        <w:rPr>
          <w:rFonts w:ascii="仿宋_GB2312" w:hAnsi="仿宋_GB2312" w:cs="仿宋_GB2312" w:eastAsia="仿宋_GB2312"/>
        </w:rPr>
        <w:t>（以下简称“代理机构”）受</w:t>
      </w:r>
      <w:r>
        <w:rPr>
          <w:rFonts w:ascii="仿宋_GB2312" w:hAnsi="仿宋_GB2312" w:cs="仿宋_GB2312" w:eastAsia="仿宋_GB2312"/>
        </w:rPr>
        <w:t>周至县自然资源和规划局</w:t>
      </w:r>
      <w:r>
        <w:rPr>
          <w:rFonts w:ascii="仿宋_GB2312" w:hAnsi="仿宋_GB2312" w:cs="仿宋_GB2312" w:eastAsia="仿宋_GB2312"/>
        </w:rPr>
        <w:t>委托，拟对</w:t>
      </w:r>
      <w:r>
        <w:rPr>
          <w:rFonts w:ascii="仿宋_GB2312" w:hAnsi="仿宋_GB2312" w:cs="仿宋_GB2312" w:eastAsia="仿宋_GB2312"/>
        </w:rPr>
        <w:t>周至县耕地林地空间布局优化试点方案编制工作项目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QH2026-CS-021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周至县耕地林地空间布局优化试点方案编制工作项目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周至县耕地林地空间布局优化试点方案编制工作项目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2、法定代表人授权书：提供法定代表人授权书（附法定代表人、被授权人身份证复印件）及被授权人身份证复印件 （法 定代表人直接参加投标，须提供法定代表人身份证明及身份证复印件）；</w:t>
      </w:r>
    </w:p>
    <w:p>
      <w:pPr>
        <w:pStyle w:val="null3"/>
      </w:pPr>
      <w:r>
        <w:rPr>
          <w:rFonts w:ascii="仿宋_GB2312" w:hAnsi="仿宋_GB2312" w:cs="仿宋_GB2312" w:eastAsia="仿宋_GB2312"/>
        </w:rPr>
        <w:t>3、财务审计报告：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4、纳税证明：提供磋商截止日前近一年内至少一个月的纳税证明或完税证明，依法免税的单位应提供相关证明材料；</w:t>
      </w:r>
    </w:p>
    <w:p>
      <w:pPr>
        <w:pStyle w:val="null3"/>
      </w:pPr>
      <w:r>
        <w:rPr>
          <w:rFonts w:ascii="仿宋_GB2312" w:hAnsi="仿宋_GB2312" w:cs="仿宋_GB2312" w:eastAsia="仿宋_GB2312"/>
        </w:rPr>
        <w:t>5、保险参保缴费情况证明：提供磋商截止日前近一年内至少一个月的社会保障资金缴存单据或社保机构开具的社会保险 参保缴费情况证明，依法不需要缴纳社会保障资金的单位应提供相关证明材料；</w:t>
      </w:r>
    </w:p>
    <w:p>
      <w:pPr>
        <w:pStyle w:val="null3"/>
      </w:pPr>
      <w:r>
        <w:rPr>
          <w:rFonts w:ascii="仿宋_GB2312" w:hAnsi="仿宋_GB2312" w:cs="仿宋_GB2312" w:eastAsia="仿宋_GB2312"/>
        </w:rPr>
        <w:t>6、查询相关主体信用记录：提供《供应商信用记录书面声明函》供应商未被列入“信用中国”网站记录的“失信被执行人”或 “重大税收违法案件当事人”名单；不处于“中国政府采购网”记录的“政府采购严重违法失信行为信息记录名单”中的禁止参加政府采购活动期间；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7、说明及承诺书：提供具有履行本合同所必需的设备和专业技术能力的说明及承诺书；</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9、供应商资质：须具备行政主管部门颁发的城乡规划乙级（含乙级）及以上资质；</w:t>
      </w:r>
    </w:p>
    <w:p>
      <w:pPr>
        <w:pStyle w:val="null3"/>
      </w:pPr>
      <w:r>
        <w:rPr>
          <w:rFonts w:ascii="仿宋_GB2312" w:hAnsi="仿宋_GB2312" w:cs="仿宋_GB2312" w:eastAsia="仿宋_GB2312"/>
        </w:rPr>
        <w:t>10、项目负责人资质：项目负责人具有国土空间规划或土地规划或城市（城乡）规划等相关专业高级技术职称；</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 关系的，则投标无效；</w:t>
      </w:r>
    </w:p>
    <w:p>
      <w:pPr>
        <w:pStyle w:val="null3"/>
      </w:pPr>
      <w:r>
        <w:rPr>
          <w:rFonts w:ascii="仿宋_GB2312" w:hAnsi="仿宋_GB2312" w:cs="仿宋_GB2312" w:eastAsia="仿宋_GB2312"/>
        </w:rPr>
        <w:t>12、不接受联合体投标：本项目不接受联合体投标（提供承诺书）。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周至县自然资源和规划局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周至县云塔南路1号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周至县自然资源和规划局经办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18602927631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陕西启航项目管理咨询有限公司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陕西省西安市碑林区环城南路140号含光大厦4层01室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高俊峰</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19993561664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采购包1：742,500.00元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周至县自然资源和规划局</w:t>
      </w:r>
      <w:r>
        <w:rPr>
          <w:rFonts w:ascii="仿宋_GB2312" w:hAnsi="仿宋_GB2312" w:cs="仿宋_GB2312" w:eastAsia="仿宋_GB2312"/>
        </w:rPr>
        <w:t>和</w:t>
      </w:r>
      <w:r>
        <w:rPr>
          <w:rFonts w:ascii="仿宋_GB2312" w:hAnsi="仿宋_GB2312" w:cs="仿宋_GB2312" w:eastAsia="仿宋_GB2312"/>
        </w:rPr>
        <w:t>陕西启航项目管理咨询有限公司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周至县自然资源和规划局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陕西启航项目管理咨询有限公司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周至县自然资源和规划局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陕西启航项目管理咨询有限公司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联系人：高俊峰</w:t>
      </w:r>
    </w:p>
    <w:p>
      <w:pPr>
        <w:pStyle w:val="null3"/>
      </w:pPr>
      <w:r>
        <w:rPr>
          <w:rFonts w:ascii="仿宋_GB2312" w:hAnsi="仿宋_GB2312" w:cs="仿宋_GB2312" w:eastAsia="仿宋_GB2312"/>
        </w:rPr>
        <w:t>联系电话：19993561664</w:t>
      </w:r>
    </w:p>
    <w:p>
      <w:pPr>
        <w:pStyle w:val="null3"/>
      </w:pPr>
      <w:r>
        <w:rPr>
          <w:rFonts w:ascii="仿宋_GB2312" w:hAnsi="仿宋_GB2312" w:cs="仿宋_GB2312" w:eastAsia="仿宋_GB2312"/>
        </w:rPr>
        <w:t>地址：陕西省西安市碑林区环城南路140号含光大厦4层01室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周至县耕地林地空间布局优化试点方案编制工作项目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742,500.00</w:t>
      </w:r>
    </w:p>
    <w:p>
      <w:pPr>
        <w:pStyle w:val="null3"/>
      </w:pPr>
      <w:r>
        <w:rPr>
          <w:rFonts w:ascii="仿宋_GB2312" w:hAnsi="仿宋_GB2312" w:cs="仿宋_GB2312" w:eastAsia="仿宋_GB2312"/>
        </w:rPr>
        <w:t>采购包最高限价（元）: 742,500.00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周至县耕地林地空间布局优化试点方案编制工作项目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742,500.00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标的名称：周至县耕地林地空间布局优化试点方案编制工作项目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一、项目概述</w:t>
            </w:r>
          </w:p>
          <w:p>
            <w:pPr>
              <w:pStyle w:val="null3"/>
              <w:ind w:firstLine="480"/>
              <w:jc w:val="both"/>
            </w:pPr>
            <w:r>
              <w:rPr>
                <w:rFonts w:ascii="仿宋_GB2312" w:hAnsi="仿宋_GB2312" w:cs="仿宋_GB2312" w:eastAsia="仿宋_GB2312"/>
                <w:sz w:val="24"/>
              </w:rPr>
              <w:t>深入贯彻党中央国务院关于生态文明建设和耕地保护的重要指示精神，全面落实</w:t>
            </w:r>
            <w:r>
              <w:rPr>
                <w:rFonts w:ascii="仿宋_GB2312" w:hAnsi="仿宋_GB2312" w:cs="仿宋_GB2312" w:eastAsia="仿宋_GB2312"/>
                <w:sz w:val="24"/>
              </w:rPr>
              <w:t>“良田粮用”原则，依据《国务院办公厅关于坚决制止耕地“非农化”行为的通知》（国办发明电〔</w:t>
            </w:r>
            <w:r>
              <w:rPr>
                <w:rFonts w:ascii="仿宋_GB2312" w:hAnsi="仿宋_GB2312" w:cs="仿宋_GB2312" w:eastAsia="仿宋_GB2312"/>
                <w:sz w:val="24"/>
              </w:rPr>
              <w:t>2020</w:t>
            </w:r>
            <w:r>
              <w:rPr>
                <w:rFonts w:ascii="仿宋_GB2312" w:hAnsi="仿宋_GB2312" w:cs="仿宋_GB2312" w:eastAsia="仿宋_GB2312"/>
                <w:sz w:val="24"/>
              </w:rPr>
              <w:t>〕</w:t>
            </w:r>
            <w:r>
              <w:rPr>
                <w:rFonts w:ascii="仿宋_GB2312" w:hAnsi="仿宋_GB2312" w:cs="仿宋_GB2312" w:eastAsia="仿宋_GB2312"/>
                <w:sz w:val="24"/>
              </w:rPr>
              <w:t>24</w:t>
            </w:r>
            <w:r>
              <w:rPr>
                <w:rFonts w:ascii="仿宋_GB2312" w:hAnsi="仿宋_GB2312" w:cs="仿宋_GB2312" w:eastAsia="仿宋_GB2312"/>
                <w:sz w:val="24"/>
              </w:rPr>
              <w:t>号）、《国务院办公厅关于防止耕地</w:t>
            </w:r>
            <w:r>
              <w:rPr>
                <w:rFonts w:ascii="仿宋_GB2312" w:hAnsi="仿宋_GB2312" w:cs="仿宋_GB2312" w:eastAsia="仿宋_GB2312"/>
                <w:sz w:val="24"/>
              </w:rPr>
              <w:t>“</w:t>
            </w:r>
            <w:r>
              <w:rPr>
                <w:rFonts w:ascii="仿宋_GB2312" w:hAnsi="仿宋_GB2312" w:cs="仿宋_GB2312" w:eastAsia="仿宋_GB2312"/>
                <w:sz w:val="24"/>
              </w:rPr>
              <w:t>非粮化</w:t>
            </w:r>
            <w:r>
              <w:rPr>
                <w:rFonts w:ascii="仿宋_GB2312" w:hAnsi="仿宋_GB2312" w:cs="仿宋_GB2312" w:eastAsia="仿宋_GB2312"/>
                <w:sz w:val="24"/>
              </w:rPr>
              <w:t>”</w:t>
            </w:r>
            <w:r>
              <w:rPr>
                <w:rFonts w:ascii="仿宋_GB2312" w:hAnsi="仿宋_GB2312" w:cs="仿宋_GB2312" w:eastAsia="仿宋_GB2312"/>
                <w:sz w:val="24"/>
              </w:rPr>
              <w:t>稳定粮食生产的意见》（国办发〔</w:t>
            </w:r>
            <w:r>
              <w:rPr>
                <w:rFonts w:ascii="仿宋_GB2312" w:hAnsi="仿宋_GB2312" w:cs="仿宋_GB2312" w:eastAsia="仿宋_GB2312"/>
                <w:sz w:val="24"/>
              </w:rPr>
              <w:t>2020</w:t>
            </w:r>
            <w:r>
              <w:rPr>
                <w:rFonts w:ascii="仿宋_GB2312" w:hAnsi="仿宋_GB2312" w:cs="仿宋_GB2312" w:eastAsia="仿宋_GB2312"/>
                <w:sz w:val="24"/>
              </w:rPr>
              <w:t>〕</w:t>
            </w:r>
            <w:r>
              <w:rPr>
                <w:rFonts w:ascii="仿宋_GB2312" w:hAnsi="仿宋_GB2312" w:cs="仿宋_GB2312" w:eastAsia="仿宋_GB2312"/>
                <w:sz w:val="24"/>
              </w:rPr>
              <w:t>44</w:t>
            </w:r>
            <w:r>
              <w:rPr>
                <w:rFonts w:ascii="仿宋_GB2312" w:hAnsi="仿宋_GB2312" w:cs="仿宋_GB2312" w:eastAsia="仿宋_GB2312"/>
                <w:sz w:val="24"/>
              </w:rPr>
              <w:t>号）、《陕西省自然资源厅 陕西省林业局关于印发耕地保护范围内细碎化林草地空间置换试点工作方案的通知》（陕自然资耕发〔</w:t>
            </w:r>
            <w:r>
              <w:rPr>
                <w:rFonts w:ascii="仿宋_GB2312" w:hAnsi="仿宋_GB2312" w:cs="仿宋_GB2312" w:eastAsia="仿宋_GB2312"/>
                <w:sz w:val="24"/>
              </w:rPr>
              <w:t>2023</w:t>
            </w: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号）等文件要求，结合周至县地理空间格局及农业产业发展现状，开展周至县耕地林地空间布局优化试点项目。通过本项目，旨在摸清周至县</w:t>
            </w:r>
            <w:r>
              <w:rPr>
                <w:rFonts w:ascii="仿宋_GB2312" w:hAnsi="仿宋_GB2312" w:cs="仿宋_GB2312" w:eastAsia="仿宋_GB2312"/>
                <w:sz w:val="24"/>
              </w:rPr>
              <w:t>耕地与林地的现状分布，解决耕地碎片化、林地上山等问题，实现耕地与林地的</w:t>
            </w:r>
            <w:r>
              <w:rPr>
                <w:rFonts w:ascii="仿宋_GB2312" w:hAnsi="仿宋_GB2312" w:cs="仿宋_GB2312" w:eastAsia="仿宋_GB2312"/>
                <w:sz w:val="24"/>
              </w:rPr>
              <w:t>“双保双优”，保障粮食安全与生态安全。</w:t>
            </w:r>
          </w:p>
          <w:p>
            <w:pPr>
              <w:pStyle w:val="null3"/>
              <w:ind w:firstLine="480"/>
              <w:jc w:val="both"/>
            </w:pPr>
            <w:r>
              <w:rPr>
                <w:rFonts w:ascii="仿宋_GB2312" w:hAnsi="仿宋_GB2312" w:cs="仿宋_GB2312" w:eastAsia="仿宋_GB2312"/>
                <w:sz w:val="24"/>
              </w:rPr>
              <w:t>二、工作内容</w:t>
            </w:r>
          </w:p>
          <w:p>
            <w:pPr>
              <w:pStyle w:val="null3"/>
              <w:ind w:firstLine="482"/>
              <w:jc w:val="both"/>
            </w:pPr>
            <w:r>
              <w:rPr>
                <w:rFonts w:ascii="仿宋_GB2312" w:hAnsi="仿宋_GB2312" w:cs="仿宋_GB2312" w:eastAsia="仿宋_GB2312"/>
                <w:sz w:val="24"/>
                <w:b/>
              </w:rPr>
              <w:t>（一）现状摸底与问题诊断</w:t>
            </w:r>
          </w:p>
          <w:p>
            <w:pPr>
              <w:pStyle w:val="null3"/>
              <w:ind w:firstLine="480"/>
              <w:jc w:val="both"/>
            </w:pPr>
            <w:r>
              <w:rPr>
                <w:rFonts w:ascii="仿宋_GB2312" w:hAnsi="仿宋_GB2312" w:cs="仿宋_GB2312" w:eastAsia="仿宋_GB2312"/>
                <w:sz w:val="24"/>
              </w:rPr>
              <w:t>全面调查周至县耕地和林地的现状分布、利用情况，重点摸清耕地中零星分散的林木、果树以及林地范围内可恢复为耕地的细碎化地块，分析存在的空间冲突和利用问题。</w:t>
            </w:r>
          </w:p>
          <w:p>
            <w:pPr>
              <w:pStyle w:val="null3"/>
              <w:ind w:firstLine="482"/>
              <w:jc w:val="both"/>
            </w:pPr>
            <w:r>
              <w:rPr>
                <w:rFonts w:ascii="仿宋_GB2312" w:hAnsi="仿宋_GB2312" w:cs="仿宋_GB2312" w:eastAsia="仿宋_GB2312"/>
                <w:sz w:val="24"/>
                <w:b/>
              </w:rPr>
              <w:t>（二）潜力分析与方案编制</w:t>
            </w:r>
          </w:p>
          <w:p>
            <w:pPr>
              <w:pStyle w:val="null3"/>
              <w:ind w:firstLine="480"/>
              <w:jc w:val="both"/>
            </w:pPr>
            <w:r>
              <w:rPr>
                <w:rFonts w:ascii="仿宋_GB2312" w:hAnsi="仿宋_GB2312" w:cs="仿宋_GB2312" w:eastAsia="仿宋_GB2312"/>
                <w:sz w:val="24"/>
              </w:rPr>
              <w:t>结合周至县全域土地综合整治工作，分析耕地林地空间置换的潜力，编制《周至县耕地林地空间布局优化试点方案》。</w:t>
            </w:r>
          </w:p>
          <w:p>
            <w:pPr>
              <w:pStyle w:val="null3"/>
              <w:ind w:firstLine="482"/>
              <w:jc w:val="both"/>
            </w:pPr>
            <w:r>
              <w:rPr>
                <w:rFonts w:ascii="仿宋_GB2312" w:hAnsi="仿宋_GB2312" w:cs="仿宋_GB2312" w:eastAsia="仿宋_GB2312"/>
                <w:sz w:val="24"/>
                <w:b/>
              </w:rPr>
              <w:t>（三）实施路径研究</w:t>
            </w:r>
          </w:p>
          <w:p>
            <w:pPr>
              <w:pStyle w:val="null3"/>
              <w:ind w:firstLine="480"/>
              <w:jc w:val="both"/>
            </w:pPr>
            <w:r>
              <w:rPr>
                <w:rFonts w:ascii="仿宋_GB2312" w:hAnsi="仿宋_GB2312" w:cs="仿宋_GB2312" w:eastAsia="仿宋_GB2312"/>
                <w:sz w:val="24"/>
              </w:rPr>
              <w:t>提出周至县耕地林地互换的具体实施路径、管护机制及政策建议，确保方案可落地、可执行。</w:t>
            </w:r>
          </w:p>
          <w:p>
            <w:pPr>
              <w:pStyle w:val="null3"/>
              <w:ind w:firstLine="480"/>
              <w:jc w:val="both"/>
            </w:pPr>
            <w:r>
              <w:rPr>
                <w:rFonts w:ascii="仿宋_GB2312" w:hAnsi="仿宋_GB2312" w:cs="仿宋_GB2312" w:eastAsia="仿宋_GB2312"/>
                <w:sz w:val="24"/>
              </w:rPr>
              <w:t>三、技术要求</w:t>
            </w:r>
          </w:p>
          <w:p>
            <w:pPr>
              <w:pStyle w:val="null3"/>
              <w:ind w:firstLine="482"/>
              <w:jc w:val="both"/>
            </w:pPr>
            <w:r>
              <w:rPr>
                <w:rFonts w:ascii="仿宋_GB2312" w:hAnsi="仿宋_GB2312" w:cs="仿宋_GB2312" w:eastAsia="仿宋_GB2312"/>
                <w:sz w:val="24"/>
                <w:b/>
              </w:rPr>
              <w:t>底线思维，严守红线。</w:t>
            </w:r>
            <w:r>
              <w:rPr>
                <w:rFonts w:ascii="仿宋_GB2312" w:hAnsi="仿宋_GB2312" w:cs="仿宋_GB2312" w:eastAsia="仿宋_GB2312"/>
                <w:sz w:val="24"/>
              </w:rPr>
              <w:t>严格保护耕地和永久基本农田，严守生态保护红线。在优化布局过程中，严禁借机违规占用耕地，确保粮食安全、生态安全。</w:t>
            </w:r>
          </w:p>
          <w:p>
            <w:pPr>
              <w:pStyle w:val="null3"/>
              <w:ind w:firstLine="482"/>
              <w:jc w:val="both"/>
            </w:pPr>
            <w:r>
              <w:rPr>
                <w:rFonts w:ascii="仿宋_GB2312" w:hAnsi="仿宋_GB2312" w:cs="仿宋_GB2312" w:eastAsia="仿宋_GB2312"/>
                <w:sz w:val="24"/>
                <w:b/>
              </w:rPr>
              <w:t>因地制宜，质量优先。</w:t>
            </w:r>
            <w:r>
              <w:rPr>
                <w:rFonts w:ascii="仿宋_GB2312" w:hAnsi="仿宋_GB2312" w:cs="仿宋_GB2312" w:eastAsia="仿宋_GB2312"/>
                <w:sz w:val="24"/>
              </w:rPr>
              <w:t>结合周至县猕猴桃等特色农业产业分布及秦岭北麓生态屏障特点，实事求是地进行布局优化。优先将集中连片、设施完善、适宜规模种植的优质耕地划入永久基本农田，引导林地上山上坡。</w:t>
            </w:r>
          </w:p>
          <w:p>
            <w:pPr>
              <w:pStyle w:val="null3"/>
              <w:ind w:firstLine="482"/>
              <w:jc w:val="both"/>
            </w:pPr>
            <w:r>
              <w:rPr>
                <w:rFonts w:ascii="仿宋_GB2312" w:hAnsi="仿宋_GB2312" w:cs="仿宋_GB2312" w:eastAsia="仿宋_GB2312"/>
                <w:sz w:val="24"/>
                <w:b/>
              </w:rPr>
              <w:t>系统设计，试点先行。</w:t>
            </w:r>
            <w:r>
              <w:rPr>
                <w:rFonts w:ascii="仿宋_GB2312" w:hAnsi="仿宋_GB2312" w:cs="仿宋_GB2312" w:eastAsia="仿宋_GB2312"/>
                <w:sz w:val="24"/>
              </w:rPr>
              <w:t>按照整体整治要求，选定周至县内耕地林地交错、矛盾突出的典型区域先行试点。坚持问题导向，统筹实施耕地林地布局优化，确保整治后的农田生态良好、设施完善。</w:t>
            </w:r>
          </w:p>
          <w:p>
            <w:pPr>
              <w:pStyle w:val="null3"/>
              <w:ind w:firstLine="482"/>
              <w:jc w:val="both"/>
            </w:pPr>
            <w:r>
              <w:rPr>
                <w:rFonts w:ascii="仿宋_GB2312" w:hAnsi="仿宋_GB2312" w:cs="仿宋_GB2312" w:eastAsia="仿宋_GB2312"/>
                <w:sz w:val="24"/>
                <w:b/>
              </w:rPr>
              <w:t>数据精准，用途管制。</w:t>
            </w:r>
            <w:r>
              <w:rPr>
                <w:rFonts w:ascii="仿宋_GB2312" w:hAnsi="仿宋_GB2312" w:cs="仿宋_GB2312" w:eastAsia="仿宋_GB2312"/>
                <w:sz w:val="24"/>
              </w:rPr>
              <w:t>利用高分辨率遥感影像和国土变更调查数据，确保底数清、数据准。创新后期管护利用机制，严格耕地林地用途管制。</w:t>
            </w:r>
          </w:p>
          <w:p>
            <w:pPr>
              <w:pStyle w:val="null3"/>
              <w:ind w:firstLine="480"/>
              <w:jc w:val="both"/>
            </w:pPr>
            <w:r>
              <w:rPr>
                <w:rFonts w:ascii="仿宋_GB2312" w:hAnsi="仿宋_GB2312" w:cs="仿宋_GB2312" w:eastAsia="仿宋_GB2312"/>
                <w:sz w:val="24"/>
              </w:rPr>
              <w:t>四、成果要求</w:t>
            </w:r>
          </w:p>
          <w:p>
            <w:pPr>
              <w:pStyle w:val="null3"/>
              <w:ind w:firstLine="480"/>
              <w:jc w:val="both"/>
            </w:pPr>
            <w:r>
              <w:rPr>
                <w:rFonts w:ascii="仿宋_GB2312" w:hAnsi="仿宋_GB2312" w:cs="仿宋_GB2312" w:eastAsia="仿宋_GB2312"/>
                <w:sz w:val="24"/>
              </w:rPr>
              <w:t>完成《周至县耕地林地空间布局优化试点方案》，内容包含全县耕地林地分布现状分析；耕地林地布局变化时序分析及存在问题诊断；布局优化的必要性、可行性及优化潜力空间分布研究；相关政策机制支撑分析及实施路径探讨建议。</w:t>
            </w:r>
          </w:p>
          <w:p>
            <w:pPr>
              <w:pStyle w:val="null3"/>
              <w:ind w:firstLine="480"/>
              <w:jc w:val="both"/>
            </w:pPr>
            <w:r>
              <w:rPr>
                <w:rFonts w:ascii="仿宋_GB2312" w:hAnsi="仿宋_GB2312" w:cs="仿宋_GB2312" w:eastAsia="仿宋_GB2312"/>
                <w:sz w:val="24"/>
              </w:rPr>
              <w:t>明确试点范围、工作目标及基本原则；制定具体的技术路线、空间优化布局图（含矢量数据）；提出工程措施、后期管护及风险评估内容；形成可复制、可推广的周至县试点经验模式。</w:t>
            </w:r>
          </w:p>
          <w:p>
            <w:pPr>
              <w:pStyle w:val="null3"/>
              <w:ind w:firstLine="480"/>
              <w:jc w:val="both"/>
            </w:pPr>
            <w:r>
              <w:rPr>
                <w:rFonts w:ascii="仿宋_GB2312" w:hAnsi="仿宋_GB2312" w:cs="仿宋_GB2312" w:eastAsia="仿宋_GB2312"/>
                <w:sz w:val="24"/>
              </w:rPr>
              <w:t>五、其他要求</w:t>
            </w:r>
          </w:p>
          <w:p>
            <w:pPr>
              <w:pStyle w:val="null3"/>
              <w:ind w:firstLine="482"/>
              <w:jc w:val="both"/>
            </w:pPr>
            <w:r>
              <w:rPr>
                <w:rFonts w:ascii="仿宋_GB2312" w:hAnsi="仿宋_GB2312" w:cs="仿宋_GB2312" w:eastAsia="仿宋_GB2312"/>
                <w:sz w:val="24"/>
                <w:b/>
              </w:rPr>
              <w:t>质量要求</w:t>
            </w:r>
            <w:r>
              <w:rPr>
                <w:rFonts w:ascii="仿宋_GB2312" w:hAnsi="仿宋_GB2312" w:cs="仿宋_GB2312" w:eastAsia="仿宋_GB2312"/>
                <w:sz w:val="24"/>
                <w:b/>
              </w:rPr>
              <w:t>:</w:t>
            </w:r>
            <w:r>
              <w:rPr>
                <w:rFonts w:ascii="仿宋_GB2312" w:hAnsi="仿宋_GB2312" w:cs="仿宋_GB2312" w:eastAsia="仿宋_GB2312"/>
                <w:sz w:val="24"/>
              </w:rPr>
              <w:t>成果必须符合国家及陕西省相关法律法规、技术规范，必须通过周至县自然资源和规划局组织的专家评审及技术审查。</w:t>
            </w:r>
          </w:p>
          <w:p>
            <w:pPr>
              <w:pStyle w:val="null3"/>
              <w:ind w:firstLine="482"/>
              <w:jc w:val="both"/>
            </w:pPr>
            <w:r>
              <w:rPr>
                <w:rFonts w:ascii="仿宋_GB2312" w:hAnsi="仿宋_GB2312" w:cs="仿宋_GB2312" w:eastAsia="仿宋_GB2312"/>
                <w:sz w:val="24"/>
                <w:b/>
              </w:rPr>
              <w:t>服务要求</w:t>
            </w:r>
            <w:r>
              <w:rPr>
                <w:rFonts w:ascii="仿宋_GB2312" w:hAnsi="仿宋_GB2312" w:cs="仿宋_GB2312" w:eastAsia="仿宋_GB2312"/>
                <w:sz w:val="24"/>
                <w:b/>
              </w:rPr>
              <w:t>:</w:t>
            </w:r>
            <w:r>
              <w:rPr>
                <w:rFonts w:ascii="仿宋_GB2312" w:hAnsi="仿宋_GB2312" w:cs="仿宋_GB2312" w:eastAsia="仿宋_GB2312"/>
                <w:sz w:val="24"/>
              </w:rPr>
              <w:t>服务团队需在陕西省周至县境内开展工作，能够及时响应采购人的相关需求，配合完成上级部门的汇报及审查工作。</w:t>
            </w:r>
          </w:p>
          <w:p>
            <w:pPr>
              <w:pStyle w:val="null3"/>
              <w:ind w:firstLine="482"/>
              <w:jc w:val="both"/>
            </w:pPr>
            <w:r>
              <w:rPr>
                <w:rFonts w:ascii="仿宋_GB2312" w:hAnsi="仿宋_GB2312" w:cs="仿宋_GB2312" w:eastAsia="仿宋_GB2312"/>
                <w:sz w:val="24"/>
                <w:b/>
              </w:rPr>
              <w:t>安全要求</w:t>
            </w:r>
            <w:r>
              <w:rPr>
                <w:rFonts w:ascii="仿宋_GB2312" w:hAnsi="仿宋_GB2312" w:cs="仿宋_GB2312" w:eastAsia="仿宋_GB2312"/>
                <w:sz w:val="24"/>
                <w:b/>
              </w:rPr>
              <w:t>:</w:t>
            </w:r>
            <w:r>
              <w:rPr>
                <w:rFonts w:ascii="仿宋_GB2312" w:hAnsi="仿宋_GB2312" w:cs="仿宋_GB2312" w:eastAsia="仿宋_GB2312"/>
                <w:sz w:val="24"/>
              </w:rPr>
              <w:t>严格遵守数据安全管理规定，确保项目涉及的地理信息数据、过程成果及最终成果的安全，未经许可不得向第三方泄露。</w:t>
            </w:r>
          </w:p>
          <w:p>
            <w:pPr>
              <w:pStyle w:val="null3"/>
              <w:ind w:firstLine="482"/>
              <w:jc w:val="both"/>
            </w:pPr>
            <w:r>
              <w:rPr>
                <w:rFonts w:ascii="仿宋_GB2312" w:hAnsi="仿宋_GB2312" w:cs="仿宋_GB2312" w:eastAsia="仿宋_GB2312"/>
                <w:sz w:val="24"/>
                <w:b/>
              </w:rPr>
              <w:t>服务期限</w:t>
            </w:r>
            <w:r>
              <w:rPr>
                <w:rFonts w:ascii="仿宋_GB2312" w:hAnsi="仿宋_GB2312" w:cs="仿宋_GB2312" w:eastAsia="仿宋_GB2312"/>
                <w:sz w:val="24"/>
                <w:b/>
              </w:rPr>
              <w:t>:</w:t>
            </w:r>
            <w:r>
              <w:rPr>
                <w:rFonts w:ascii="仿宋_GB2312" w:hAnsi="仿宋_GB2312" w:cs="仿宋_GB2312" w:eastAsia="仿宋_GB2312"/>
                <w:sz w:val="24"/>
              </w:rPr>
              <w:t>自合同签订之日起</w:t>
            </w:r>
            <w:r>
              <w:rPr>
                <w:rFonts w:ascii="仿宋_GB2312" w:hAnsi="仿宋_GB2312" w:cs="仿宋_GB2312" w:eastAsia="仿宋_GB2312"/>
                <w:sz w:val="24"/>
              </w:rPr>
              <w:t>180</w:t>
            </w:r>
            <w:r>
              <w:rPr>
                <w:rFonts w:ascii="仿宋_GB2312" w:hAnsi="仿宋_GB2312" w:cs="仿宋_GB2312" w:eastAsia="仿宋_GB2312"/>
                <w:sz w:val="24"/>
              </w:rPr>
              <w:t>日历天。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符合国家及陕西省相关法律法规、技术规范，必须通过周至县自然资源和规划局组织的专家评审及技术审查。</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经专家评审通过，达到支付条件（财政下达资金）</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成果报省级通过，并移交全部成果后，达到支付条件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提供法定代表人授权书（附法定代表人、被授权人身份证复印件）及被授权人身份证复印件 （法 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保险参保缴费情况证明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 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查询相关主体信用记录</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 “重大税收违法案件当事人”名单；不处于“中国政府采购网”记录的“政府采购严重违法失信行为信息记录名单”中的禁止参加政府采购活动期间；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须具备行政主管部门颁发的城乡规划乙级（含乙级）及以上资质；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项目负责人具有国土空间规划或土地规划或城市（城乡）规划等相关专业高级技术职称；</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 关系的，则投标无效；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分项报价表.docx 供应商应提交的相关资格证明材料.docx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分项报价表.docx 供应商应提交的相关资格证明材料.docx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 且报价不超过最高限价；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评审内容：①项目需求分析理解；②总体框架及目标；③实施思路及方法；④服务理念及特色。 评审依据：每一项内容描述详细，切实可行符合项目实际内容得4.0分，①～④项合计得16分。内容①～④项任意一项缺项扣4.0分，扣完为止；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重、难点分析的对策 措施</w:t>
            </w:r>
          </w:p>
        </w:tc>
        <w:tc>
          <w:tcPr>
            <w:tcW w:type="dxa" w:w="2492"/>
          </w:tcPr>
          <w:p>
            <w:pPr>
              <w:pStyle w:val="null3"/>
            </w:pPr>
            <w:r>
              <w:rPr>
                <w:rFonts w:ascii="仿宋_GB2312" w:hAnsi="仿宋_GB2312" w:cs="仿宋_GB2312" w:eastAsia="仿宋_GB2312"/>
              </w:rPr>
              <w:t>评审内容：①对本项目的重点、难点进行分析；②对本项目重点、难点的应对措施。评审依据：每一项内容描述详细，切实可行符合项目实际内容得4.0分，①～②项合计得8分。内容①～②项任意一项缺项扣4.0分，扣完为止；内容①～②项里有一项内容缺陷（缺陷是指：内容不详细具体、条理不清晰、描述过于简单、与项目特点不匹配、凭空编造、出现常识性错误、不可能实现的夸大情形、存在不适用项目实际情况的情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工作制度及内控制度</w:t>
            </w:r>
          </w:p>
        </w:tc>
        <w:tc>
          <w:tcPr>
            <w:tcW w:type="dxa" w:w="2492"/>
          </w:tcPr>
          <w:p>
            <w:pPr>
              <w:pStyle w:val="null3"/>
            </w:pPr>
            <w:r>
              <w:rPr>
                <w:rFonts w:ascii="仿宋_GB2312" w:hAnsi="仿宋_GB2312" w:cs="仿宋_GB2312" w:eastAsia="仿宋_GB2312"/>
              </w:rPr>
              <w:t>评审内容：①工作制度；②内控制度；③内部保密制度。评审依据：每一项内容描述详细，切实可行符合项目实际内容得4 .0分，①~③项合计得12分。内容①~③项任意一项缺项扣4 .0分，扣完为止；内容①~③项里有一项内容缺陷（缺陷是指：内容不详细具体、条理不清晰、描述过于简单、与项目特点不匹配、凭空编造、出现常识性错误、不可能实现的夸大情形、存在不适用项目实际情况的情形等）扣0 .5分，扣完为止。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服务承诺及安全保密措施</w:t>
            </w:r>
          </w:p>
        </w:tc>
        <w:tc>
          <w:tcPr>
            <w:tcW w:type="dxa" w:w="2492"/>
          </w:tcPr>
          <w:p>
            <w:pPr>
              <w:pStyle w:val="null3"/>
            </w:pPr>
            <w:r>
              <w:rPr>
                <w:rFonts w:ascii="仿宋_GB2312" w:hAnsi="仿宋_GB2312" w:cs="仿宋_GB2312" w:eastAsia="仿宋_GB2312"/>
              </w:rPr>
              <w:t>评审内容：①服务承诺；②安全保密措施。评审依据：每一项内容描述详细，切实可行符合项目实际内容得4 .0分，①~②项合计得8分。内容①~②项任意一项缺项扣4 .0分，扣完为止；内容①~②项里有一项内容缺陷（缺陷是指：内容不详细具体、条理不清晰、描述过于简单、与项目特点不匹配、凭空编造、出现常识性错误、不可能实现的夸大情形、存在不适用项目实际情况的情形等）扣0 .5分，扣完为止。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项目组织架构</w:t>
            </w:r>
          </w:p>
        </w:tc>
        <w:tc>
          <w:tcPr>
            <w:tcW w:type="dxa" w:w="2492"/>
          </w:tcPr>
          <w:p>
            <w:pPr>
              <w:pStyle w:val="null3"/>
            </w:pPr>
            <w:r>
              <w:rPr>
                <w:rFonts w:ascii="仿宋_GB2312" w:hAnsi="仿宋_GB2312" w:cs="仿宋_GB2312" w:eastAsia="仿宋_GB2312"/>
              </w:rPr>
              <w:t>评审内容：①提供组织框架；②人员保障措施。 评审依据：每一项内容描述详细，切实可行符合项目实际内容得3.0分，①～②项合计得6分。内容①～②项任意一项缺项扣3.0分，扣完止；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拟派项目技术负责人具有国土空间规划或土地规划或城市（城乡）规划等相关专业高级专业技术职称的得2分，中级得1分；拟派本项目主要技术人员（不包括项目负责人和技术负责人）具备国土空间规划或土地规划或城市（城乡）规划等相关专业，每具有一个高级职称的得1分，每具有一个中级职称的得0.5分，此项最高得分为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工作进度保障</w:t>
            </w:r>
          </w:p>
        </w:tc>
        <w:tc>
          <w:tcPr>
            <w:tcW w:type="dxa" w:w="2492"/>
          </w:tcPr>
          <w:p>
            <w:pPr>
              <w:pStyle w:val="null3"/>
            </w:pPr>
            <w:r>
              <w:rPr>
                <w:rFonts w:ascii="仿宋_GB2312" w:hAnsi="仿宋_GB2312" w:cs="仿宋_GB2312" w:eastAsia="仿宋_GB2312"/>
              </w:rPr>
              <w:t>评审内容：①工作进度计划安排；②工作进度计划保障措施。评审依据：每一项内容描述详细，切实可行符合项目实际内容得4.0分，①～②项合计得8分。内容①～②项任意一项缺项扣4.0分，扣完为止；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评审内容：①应急组织机构②应急响应流程③作业过程中突发状况的应急处理方案④应急保障措施。评审依据：每一项内容描述详细，切实可行符合项目实际内容得3分，①~④项合计得12分。内容①~④项任意一项缺项扣3.0分，扣完为止；内容①~ ④项里有一项内容缺陷（缺陷是指：内容不详细具体、条理不清晰、描述过于简单、与项目特点不匹配、凭空编造、出现常识性错误、不可能实现的夸大情形、存在不适用项目实际情况的情形等）扣0 .5分，扣完为止。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评审内容：质量保证措施。评审依据：内容描述详细，切实可行符合项目实际内容得4.0分。内容有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评审内容：合理化建议。 评审依据：内容描述详细，切实可行符合项目实际内容得4分。内容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提供2023年1月以来承担过类似项目业绩。（以合同签订日期或中标通知书签署日期为准)；每提供一项业绩得2分，最高得6分。须提供合同或中标通知书复印件并加盖公章，不提供不得分。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满足招标文件要求且评审报价最低的报价为评标基准价，其价格分为满分。其他供应商的价格分统一按照下列公式计算： 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