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版本号：LZZB-2026-003.1B120260428001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周至县未成年人救助保护中心项目(二次)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LZZB-2026-003.1B1</w:t>
      </w:r>
      <w:r>
        <w:br/>
      </w:r>
      <w:r>
        <w:br/>
      </w:r>
      <w:r>
        <w:br/>
      </w:r>
    </w:p>
    <w:p>
      <w:pPr>
        <w:pStyle w:val="null3"/>
        <w:jc w:val="center"/>
        <w:outlineLvl w:val="2"/>
      </w:pPr>
      <w:r>
        <w:rPr>
          <w:rFonts w:ascii="仿宋_GB2312" w:hAnsi="仿宋_GB2312" w:cs="仿宋_GB2312" w:eastAsia="仿宋_GB2312"/>
          <w:sz w:val="28"/>
          <w:b/>
        </w:rPr>
        <w:t>西安市周至县民政局（本级）</w:t>
      </w:r>
    </w:p>
    <w:p>
      <w:pPr>
        <w:pStyle w:val="null3"/>
        <w:jc w:val="center"/>
        <w:outlineLvl w:val="2"/>
      </w:pPr>
      <w:r>
        <w:rPr>
          <w:rFonts w:ascii="仿宋_GB2312" w:hAnsi="仿宋_GB2312" w:cs="仿宋_GB2312" w:eastAsia="仿宋_GB2312"/>
          <w:sz w:val="28"/>
          <w:b/>
        </w:rPr>
        <w:t>陕西立志项目管理有限公司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陕西立志项目管理有限公司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西安市周至县民政局（本级）</w:t>
      </w:r>
      <w:r>
        <w:rPr>
          <w:rFonts w:ascii="仿宋_GB2312" w:hAnsi="仿宋_GB2312" w:cs="仿宋_GB2312" w:eastAsia="仿宋_GB2312"/>
        </w:rPr>
        <w:t>委托，拟对</w:t>
      </w:r>
      <w:r>
        <w:rPr>
          <w:rFonts w:ascii="仿宋_GB2312" w:hAnsi="仿宋_GB2312" w:cs="仿宋_GB2312" w:eastAsia="仿宋_GB2312"/>
        </w:rPr>
        <w:t>周至县未成年人救助保护中心项目(二次)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LZZB-2026-003.1B1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周至县未成年人救助保护中心项目(二次)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周至县未成年人救助保护中心项目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采购包1（周至县未成年人救助保护中心项目）：属于专门面向中小企业采购。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1、企业资质：供应商具有建设行政主管部门颁发的建筑工程施工总承包三级及以上(含三级)资质，且具备有效的安全生产许可证；</w:t>
      </w:r>
    </w:p>
    <w:p>
      <w:pPr>
        <w:pStyle w:val="null3"/>
      </w:pPr>
      <w:r>
        <w:rPr>
          <w:rFonts w:ascii="仿宋_GB2312" w:hAnsi="仿宋_GB2312" w:cs="仿宋_GB2312" w:eastAsia="仿宋_GB2312"/>
        </w:rPr>
        <w:t>2、项目经理资质：拟派项目经理须具备建筑工程专业二级及以上（含二级）注册建造师资质并具有有效的安全生产考核合格证，在本单位注册且无在建工程（提供无在建承诺书）；</w:t>
      </w:r>
    </w:p>
    <w:p>
      <w:pPr>
        <w:pStyle w:val="null3"/>
      </w:pPr>
      <w:r>
        <w:rPr>
          <w:rFonts w:ascii="仿宋_GB2312" w:hAnsi="仿宋_GB2312" w:cs="仿宋_GB2312" w:eastAsia="仿宋_GB2312"/>
        </w:rPr>
        <w:t>3、信誉：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现场查询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杨德宏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15319937789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陕西省西安市未央区文景路97号文景尚品1217/1017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姜涛、王辉、关卓林、樊骏志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18392956263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采购包1：1,084,815.49元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计委关于印发《采购代理服务收费管理暂行办法的通知》（计价格〔2002〕1980号）、《国家发展改委办公厅关于招标代理服务收费有关问题的通知》（发改办价格〔2003〕857号）以及《国家发展改革委关于降低部分建设项目收费标准规范收费行为等有关问题的通知》(发改价格〔2011〕534号)规定的标准下浮 18 %收取。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西安市周至县民政局（本级）</w:t>
      </w:r>
      <w:r>
        <w:rPr>
          <w:rFonts w:ascii="仿宋_GB2312" w:hAnsi="仿宋_GB2312" w:cs="仿宋_GB2312" w:eastAsia="仿宋_GB2312"/>
        </w:rPr>
        <w:t>和</w:t>
      </w:r>
      <w:r>
        <w:rPr>
          <w:rFonts w:ascii="仿宋_GB2312" w:hAnsi="仿宋_GB2312" w:cs="仿宋_GB2312" w:eastAsia="仿宋_GB2312"/>
        </w:rPr>
        <w:t>陕西立志项目管理有限公司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详见合同及磋商文件要求。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陕西立志项目管理有限公司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陕西立志项目管理有限公司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陕西立志项目管理有限公司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联系人：内控监督处</w:t>
      </w:r>
    </w:p>
    <w:p>
      <w:pPr>
        <w:pStyle w:val="null3"/>
      </w:pPr>
      <w:r>
        <w:rPr>
          <w:rFonts w:ascii="仿宋_GB2312" w:hAnsi="仿宋_GB2312" w:cs="仿宋_GB2312" w:eastAsia="仿宋_GB2312"/>
        </w:rPr>
        <w:t>联系电话：18392956263</w:t>
      </w:r>
    </w:p>
    <w:p>
      <w:pPr>
        <w:pStyle w:val="null3"/>
      </w:pPr>
      <w:r>
        <w:rPr>
          <w:rFonts w:ascii="仿宋_GB2312" w:hAnsi="仿宋_GB2312" w:cs="仿宋_GB2312" w:eastAsia="仿宋_GB2312"/>
        </w:rPr>
        <w:t>地址：陕西省西安市未央区文景路97号文景尚品1017</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1,084,815.49</w:t>
      </w:r>
    </w:p>
    <w:p>
      <w:pPr>
        <w:pStyle w:val="null3"/>
      </w:pPr>
      <w:r>
        <w:rPr>
          <w:rFonts w:ascii="仿宋_GB2312" w:hAnsi="仿宋_GB2312" w:cs="仿宋_GB2312" w:eastAsia="仿宋_GB2312"/>
        </w:rPr>
        <w:t>采购包最高限价（元）: 1,084,815.49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周至县未成年人救助保护中心项目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1,084,815.49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标的名称：周至县未成年人救助保护中心项目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1.质量标准：符合国家及行业验收"合格"标准</w:t>
            </w:r>
          </w:p>
          <w:p>
            <w:pPr>
              <w:pStyle w:val="null3"/>
            </w:pPr>
            <w:r>
              <w:rPr>
                <w:rFonts w:ascii="仿宋_GB2312" w:hAnsi="仿宋_GB2312" w:cs="仿宋_GB2312" w:eastAsia="仿宋_GB2312"/>
              </w:rPr>
              <w:t>2.工期：100日历天</w:t>
            </w:r>
          </w:p>
          <w:p>
            <w:pPr>
              <w:pStyle w:val="null3"/>
            </w:pPr>
            <w:r>
              <w:rPr>
                <w:rFonts w:ascii="仿宋_GB2312" w:hAnsi="仿宋_GB2312" w:cs="仿宋_GB2312" w:eastAsia="仿宋_GB2312"/>
              </w:rPr>
              <w:t>3.合同履约地点：采购人指定地点</w:t>
            </w:r>
          </w:p>
          <w:p>
            <w:pPr>
              <w:pStyle w:val="null3"/>
            </w:pPr>
            <w:r>
              <w:rPr>
                <w:rFonts w:ascii="仿宋_GB2312" w:hAnsi="仿宋_GB2312" w:cs="仿宋_GB2312" w:eastAsia="仿宋_GB2312"/>
              </w:rPr>
              <w:t>4.付款方式：合同签订后 ，达到付款条件起 7 日内，支付合同总金额的 45.00%； 按照工程进度完工情况 ，达到付款条件起 7 日内，支付合同总金额的 45.00%；工程审计完成后 ，达到付款条件起 7 日内，支付合同总金额的 7.00%； 质保期结束后 ，达到付款条件起 7 日内，支付合同总金额的 3.00%。</w:t>
            </w:r>
            <w:r>
              <w:br/>
            </w:r>
            <w:r>
              <w:rPr>
                <w:rFonts w:ascii="仿宋_GB2312" w:hAnsi="仿宋_GB2312" w:cs="仿宋_GB2312" w:eastAsia="仿宋_GB2312"/>
              </w:rPr>
              <w:t xml:space="preserve"> 5.质保期：从工程竣工验收合格之日起算，具体分部分项工程的保修期由合同当事人在专用合同条款中约定最低保修年限。在工程保修期内，承包人应当根据有关法律规定以及合同约定承担修责任。发包人未经竣工验收擅自使用工程的，保修期自转移占有之日起算。5.1修复费用保修期内，修复的费用以下约定处理:(1)保修期内，因承包人原因造成工程的缺陷、损坏，承包人应负责修复，并承担修复的费用以因工程的缺陷、损坏造成的人身伤害和财产损失:(2)保修期内，因发包人使用不当造成工程的缺陷、损坏，可委托承包人修复，但发包人应承担修复的费用，并支付承包人合理利润；(3)因其他原因造成工程的缺陷、损坏财产损失由责任方承担。5.2修复通知在保修期内，发包人在使用过程中，发现已接收的工程存在缺陷或损坏的，承包人应在专用合同条款约定的合理期限内到达工程现场并修复缺陷或损坏。5.3 未能修复因为人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部分的修复费用由发包人承担。5.4承包人出入权在保修期内，为了修复缺陷或损坏，承包人有权出入工程现场除情况紧急必须立即修复缺陷或损坏外，承包人应提前24小时通知发包人进场修复的时间。承包人进入工程现场应获得发包人同意，且不应影响发包人正常的生产经营，并应遵守发包人有关保安和保密等规定。5.5其他未尽事宜执行相关国家标准及本文件的其他规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按国家《建设工程质量管理条例》（国务院令第 279 号）及住建部《房屋建筑工程质量保修办法》，正常使用条件下，建设单体（土建 + 装修）法定最低保修期为： 1、主体结构（土建部分） 地基基础、主体结构工程：设计合理使用年限（一般住宅 50 年、公共建筑 50–100 年） 2、防水与防渗漏 屋面防水、卫生间 / 厨房防水、外墙防渗漏：5 年 3、机电安装 电气管线、给排水管道、设备安装：2 年 供热 / 供冷系统：2 个采暖期 / 供冷期 4、装修工程（含精装修） 装修工程（含墙面、地面、吊顶、门窗等）：2 年 5、起算时间 保修期从工程竣工验收合格之日起算。 合同可约定长于上述期限，但不得短于法定最低期限。</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并在中华人民共和国境内注册，提供注册登记凭证（营业执照或其他组织经营的合法凭证或自然人提供的身份证明文件）。2）具有良好的商业信誉和健全的财务会计制度：企业需提供2024年度或2025年度经审计的财务报告（包括四表一注,即资产负债表、 利润表、现金流量表、所有者权益变动表及其附注），成立时间至提交响应文件截止时间不足一年的可提供成立后任意时段的财务报告；/事业法人需提供部门决算报告；或在磋商截止日期前六个月内其基本开户银行出具的资信证明(附《基本存款账户信息》或 《银行开户许可证》复印件）；或财政部门认可的政府采购专业担保机构出具的投标担保函；以上三种形式的资料提供任何一种即可。3）具有履行合同所必需的设备和专业技术能力提供声明文件。4）具有依法缴纳税收的良好记录：提供缴费所属日期为磋商截止时间前12个月内任一月份 （磋商截止时间当月不计入）的增值税（或所得税或营业税等）缴费凭据或税务机关出具的完税证明/在法规范围内不需提供的应出具书面说明和证明文件；5)具有依法缴纳社会保障资金的良好记录：提供缴费所属日期为磋商截止时间前12个月内任一月份（磋商截止时间当月不计入）的缴费凭据或社保机关出具的缴费证明/在法规范围内不需提供的应出具书面说明和证明文件；6）参加政府采购活动前3年内在经营活动中没有重大违法记录的书面声明；7）法人代表授权书（或单位负责人证明书)；8）法律规定的其他要求。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供应商具有建设行政主管部门颁发的建筑工程施工总承包三级及以上(含三级)资质，且具备有效的安全生产许可证；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拟派项目经理须具备建筑工程专业二级及以上（含二级）注册建造师资质并具有有效的安全生产考核合格证，在本单位注册且无在建工程（提供无在建承诺书）；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现场查询为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 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供应商针对本项目编制完善的质量保证措施，内容包含：①施工质量目标②施工质量的检验制度③确保质量的技术组织措施④施工质量过程控制措施。 二、评审标准1、完整性：方案必须全面，对评审内容中的各项要求有详细描述； 2、可实施性：切合本项目实际情况，提出步骤清晰、合理的方案； 3、针对性：方案能够紧扣项目实际情况，内容科学合理。 三、赋分标准（满分12分） ①施工质量目标：每完全满足一个评审标准得1分，满分3分； ②施工质量的检验制度：每完全满足一个评审标准得1分，满分3分； ③确保质量的技术组织措施：每完全满足一个评审标准得1分，满分3分；④施工质量过程控制措施：每完全满足一个评审标准得1分，满分3分。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三、赋分标准（满分12分） ①安全生产管理制度：每完全满足一个评审标准得1分，满分3分； ②安全文明施工措施：每完全满足一个评审标准得1分，满分3分； ③安全应急预案：每完全满足一个评审标准得1分，满分3分； ④安全生产教育：每完全满足一个评审标准得1分，满分3分。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①管理机构的配备计划及管理人员证书：每完全满足一个评审标准得2分，满分6分；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 工 进 度 计 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①施工进度计划横道图：每完全满足一个评审标准得1分，满分3分；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供应商提供2023年4月起至今的类似业绩证明材料，时间以合同签订日期为准，（文件中附合同复印件加盖电子公章），每提供一项上述业绩的得2分，最高得6分。不提供或缺项不得分。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采用低价优先法计算，即通过资格审查、符合性审查且价格最低的有效投标报价为评标基准价，其价格分为满分。投标报价得分＝（评标基准价/投标报价）×30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详见附件：工程合同2026.04.26.docx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