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版本号：ZRS-2026-ZC-00720260408001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周至县社会福利院提升改造项目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ZRS-2026-ZC-007</w:t>
      </w:r>
      <w:r>
        <w:br/>
      </w:r>
      <w:r>
        <w:br/>
      </w:r>
      <w:r>
        <w:br/>
      </w:r>
    </w:p>
    <w:p>
      <w:pPr>
        <w:pStyle w:val="null3"/>
        <w:jc w:val="center"/>
        <w:outlineLvl w:val="2"/>
      </w:pPr>
      <w:r>
        <w:rPr>
          <w:rFonts w:ascii="仿宋_GB2312" w:hAnsi="仿宋_GB2312" w:cs="仿宋_GB2312" w:eastAsia="仿宋_GB2312"/>
          <w:sz w:val="28"/>
          <w:b/>
        </w:rPr>
        <w:t>西安市周至县社会福利院</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西安市周至县社会福利院</w:t>
      </w:r>
      <w:r>
        <w:rPr>
          <w:rFonts w:ascii="仿宋_GB2312" w:hAnsi="仿宋_GB2312" w:cs="仿宋_GB2312" w:eastAsia="仿宋_GB2312"/>
        </w:rPr>
        <w:t>委托，拟对</w:t>
      </w:r>
      <w:r>
        <w:rPr>
          <w:rFonts w:ascii="仿宋_GB2312" w:hAnsi="仿宋_GB2312" w:cs="仿宋_GB2312" w:eastAsia="仿宋_GB2312"/>
        </w:rPr>
        <w:t>周至县社会福利院提升改造项目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ZRS-2026-ZC-007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周至县社会福利院提升改造项目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本次采购项目为周至县社会福利院提升改造项目，主要建设内容：四，五号楼卫生间改造，老人餐厅进行扩建等，详见采购文件及工程量清单。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2、企业资质：须具备建设部门颁发的建筑工程施工总承包二级（含）及以上资质，且具有有效的安全生产许可证；</w:t>
      </w:r>
    </w:p>
    <w:p>
      <w:pPr>
        <w:pStyle w:val="null3"/>
      </w:pPr>
      <w:r>
        <w:rPr>
          <w:rFonts w:ascii="仿宋_GB2312" w:hAnsi="仿宋_GB2312" w:cs="仿宋_GB2312" w:eastAsia="仿宋_GB2312"/>
        </w:rPr>
        <w:t>3、拟派项目经理：拟委派项目经理须具有有效的建筑工程专业二级（含）及以上注册建造师执业资格并具有有效的安全生产考核合格证（B证），在本单位注册且无在建项目；</w:t>
      </w:r>
    </w:p>
    <w:p>
      <w:pPr>
        <w:pStyle w:val="null3"/>
      </w:pPr>
      <w:r>
        <w:rPr>
          <w:rFonts w:ascii="仿宋_GB2312" w:hAnsi="仿宋_GB2312" w:cs="仿宋_GB2312" w:eastAsia="仿宋_GB2312"/>
        </w:rPr>
        <w:t>4、法定代表人或授权代表证明：法定代表人参加磋商时，提供本人身份证；授权代表参加磋商时，提供法定代表人授权书和被授权人身份证；非法人单位参照执行；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5、无重大违法记录的书面声明：参加政府采购活动前三年内，在经营活动中没有重大违法记录的书面声明；</w:t>
      </w:r>
    </w:p>
    <w:p>
      <w:pPr>
        <w:pStyle w:val="null3"/>
      </w:pPr>
      <w:r>
        <w:rPr>
          <w:rFonts w:ascii="仿宋_GB2312" w:hAnsi="仿宋_GB2312" w:cs="仿宋_GB2312" w:eastAsia="仿宋_GB2312"/>
        </w:rPr>
        <w:t>6、税收缴纳证明：提供2026年1月1日以来已缴纳任意一个月完税凭证或税务机关开具的完税证明（任意税种）；依法免税的应提供相关文件证明；</w:t>
      </w:r>
    </w:p>
    <w:p>
      <w:pPr>
        <w:pStyle w:val="null3"/>
      </w:pPr>
      <w:r>
        <w:rPr>
          <w:rFonts w:ascii="仿宋_GB2312" w:hAnsi="仿宋_GB2312" w:cs="仿宋_GB2312" w:eastAsia="仿宋_GB2312"/>
        </w:rPr>
        <w:t>7、社会保障资金缴纳证明：提供2026年1月1日以来已缴存的任意一个月的社会保障资金缴存证明或社保机构开具的社会保险参保缴费情况证明；依法不需要缴纳社会保障资金的应提供相关文件证明；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8、财务状况：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w:t>
      </w:r>
    </w:p>
    <w:p>
      <w:pPr>
        <w:pStyle w:val="null3"/>
      </w:pPr>
      <w:r>
        <w:rPr>
          <w:rFonts w:ascii="仿宋_GB2312" w:hAnsi="仿宋_GB2312" w:cs="仿宋_GB2312" w:eastAsia="仿宋_GB2312"/>
        </w:rPr>
        <w:t>9、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周至县二曲街道康竹路与周普路十字南角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赵聪霞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13379088245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采购包1：1,316,420.00元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的规定，按照收费标准收取。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西安市周至县社会福利院</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建筑工程施工及验收规范标准以及材料、设备所涉及的现行国家、省、市或行业的工程建设标准、规范的要求。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四、验收结果不合格的，给采购人造成的损失的，没有提交履约保证金的，应当对采购人的损失承担赔偿责任。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联系人：夏静</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1,316,420.00</w:t>
      </w:r>
    </w:p>
    <w:p>
      <w:pPr>
        <w:pStyle w:val="null3"/>
      </w:pPr>
      <w:r>
        <w:rPr>
          <w:rFonts w:ascii="仿宋_GB2312" w:hAnsi="仿宋_GB2312" w:cs="仿宋_GB2312" w:eastAsia="仿宋_GB2312"/>
        </w:rPr>
        <w:t>采购包最高限价（元）: 1,316,420.00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1,316,420.00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一、采购内容</w:t>
            </w:r>
          </w:p>
          <w:p>
            <w:pPr>
              <w:pStyle w:val="null3"/>
              <w:jc w:val="both"/>
            </w:pPr>
            <w:r>
              <w:rPr>
                <w:rFonts w:ascii="仿宋_GB2312" w:hAnsi="仿宋_GB2312" w:cs="仿宋_GB2312" w:eastAsia="仿宋_GB2312"/>
                <w:sz w:val="18"/>
                <w:color w:val="000000"/>
              </w:rPr>
              <w:t>1.项目名称：</w:t>
            </w:r>
            <w:r>
              <w:rPr>
                <w:rFonts w:ascii="仿宋_GB2312" w:hAnsi="仿宋_GB2312" w:cs="仿宋_GB2312" w:eastAsia="仿宋_GB2312"/>
                <w:sz w:val="18"/>
                <w:color w:val="000000"/>
              </w:rPr>
              <w:t>周至县社会福利院提升改造项目</w:t>
            </w:r>
          </w:p>
          <w:p>
            <w:pPr>
              <w:pStyle w:val="null3"/>
              <w:jc w:val="both"/>
            </w:pPr>
            <w:r>
              <w:rPr>
                <w:rFonts w:ascii="仿宋_GB2312" w:hAnsi="仿宋_GB2312" w:cs="仿宋_GB2312" w:eastAsia="仿宋_GB2312"/>
                <w:sz w:val="18"/>
                <w:color w:val="000000"/>
              </w:rPr>
              <w:t>2.工期：</w:t>
            </w:r>
            <w:r>
              <w:rPr>
                <w:rFonts w:ascii="仿宋_GB2312" w:hAnsi="仿宋_GB2312" w:cs="仿宋_GB2312" w:eastAsia="仿宋_GB2312"/>
                <w:sz w:val="18"/>
                <w:color w:val="000000"/>
              </w:rPr>
              <w:t>自合同签订之日起</w:t>
            </w:r>
            <w:r>
              <w:rPr>
                <w:rFonts w:ascii="仿宋_GB2312" w:hAnsi="仿宋_GB2312" w:cs="仿宋_GB2312" w:eastAsia="仿宋_GB2312"/>
                <w:sz w:val="18"/>
                <w:color w:val="000000"/>
              </w:rPr>
              <w:t>90日历天</w:t>
            </w:r>
          </w:p>
          <w:p>
            <w:pPr>
              <w:pStyle w:val="null3"/>
              <w:jc w:val="both"/>
            </w:pPr>
            <w:r>
              <w:rPr>
                <w:rFonts w:ascii="仿宋_GB2312" w:hAnsi="仿宋_GB2312" w:cs="仿宋_GB2312" w:eastAsia="仿宋_GB2312"/>
                <w:sz w:val="18"/>
                <w:color w:val="000000"/>
              </w:rPr>
              <w:t>3.施工地点：采购人指定地点</w:t>
            </w:r>
          </w:p>
          <w:p>
            <w:pPr>
              <w:pStyle w:val="null3"/>
              <w:jc w:val="both"/>
            </w:pPr>
            <w:r>
              <w:rPr>
                <w:rFonts w:ascii="仿宋_GB2312" w:hAnsi="仿宋_GB2312" w:cs="仿宋_GB2312" w:eastAsia="仿宋_GB2312"/>
                <w:sz w:val="18"/>
                <w:color w:val="000000"/>
              </w:rPr>
              <w:t>4.质量要求：达到现行施工验收规范合格标准。</w:t>
            </w:r>
          </w:p>
          <w:p>
            <w:pPr>
              <w:pStyle w:val="null3"/>
              <w:jc w:val="both"/>
            </w:pPr>
            <w:r>
              <w:rPr>
                <w:rFonts w:ascii="仿宋_GB2312" w:hAnsi="仿宋_GB2312" w:cs="仿宋_GB2312" w:eastAsia="仿宋_GB2312"/>
                <w:sz w:val="18"/>
                <w:color w:val="000000"/>
              </w:rPr>
              <w:t>5、付款方式：1） 付款条件说明：</w:t>
            </w:r>
            <w:r>
              <w:rPr>
                <w:rFonts w:ascii="仿宋_GB2312" w:hAnsi="仿宋_GB2312" w:cs="仿宋_GB2312" w:eastAsia="仿宋_GB2312"/>
                <w:sz w:val="18"/>
                <w:color w:val="000000"/>
              </w:rPr>
              <w:t>完成工程量的</w:t>
            </w:r>
            <w:r>
              <w:rPr>
                <w:rFonts w:ascii="仿宋_GB2312" w:hAnsi="仿宋_GB2312" w:cs="仿宋_GB2312" w:eastAsia="仿宋_GB2312"/>
                <w:sz w:val="18"/>
                <w:color w:val="000000"/>
              </w:rPr>
              <w:t>60% ，达到付款条件起 10 日内，支付合同总金额的 30.00%。</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 付款条件说明：</w:t>
            </w:r>
            <w:r>
              <w:rPr>
                <w:rFonts w:ascii="仿宋_GB2312" w:hAnsi="仿宋_GB2312" w:cs="仿宋_GB2312" w:eastAsia="仿宋_GB2312"/>
                <w:sz w:val="18"/>
                <w:color w:val="000000"/>
              </w:rPr>
              <w:t>竣工验收、审计完成后</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 日内，支付合同总金额的 70.00%</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6、保修6.1保修责任工程保修期从工程竣工验收合格之日起算，具体分部分项工程的保修期由合同当事人在专用合同条款中约定，但不得低于法定最低保修年限。在工程保修期内，承包人应当根据有关法律规定以及合同约定承担保修责任。发包人未经竣工验收擅自使用工程的，保修期自转移占有之日起算。6.2 修复费用保修期内，修复的费用按照以下约定处理：（1）保修期内，因承包人原因造成工程的缺陷、损坏，承包人应负责修复，并承担修复的费用以及因工程的缺陷、损坏造成的人身伤害和财产损失；（2）保修期内，因发包人使用不当造成工程的缺陷、损坏，可以委托承包人修复，但发包人应承担修复的费用，并支付承包人合理利润；（3）因其他原因造成工程的缺陷、损坏，可以委托承包人修复，发包人应承担修复的费用，并支付承包人合理的利润，因工程的缺陷、损坏造成的人身伤害和财产损失由责任方承担。6.3 修复通知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6.4 未能修复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6.5 承包人出入权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6.6、根据《建设工程质量管理条例》及有关规定，工程的质量保修期如下：（1）地基基础工程和主体结构工程为设计文件规定的工程合理使用年限；（2）屋面防水工程、有防水要求的卫生间、房间和外墙面的防渗为5年；（3）装修工程为2年；（4）电气管线、给排水管道、设备安装工程为2年；（5）市政基础设施道路等配套工程为2年；（6）其他项目保修期限约定如下：按照第279号令《建设工程质量管理条例》相关规定执行。</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18"/>
                <w:color w:val="000000"/>
              </w:rPr>
              <w:t>7、缺陷责任期工程缺陷责任期为24个月，缺陷责任期自工程实际竣工之日起计算。单位工程先于全部工程进行验收，单位工程缺陷责任期自单位工程验收合格之日起算。</w:t>
            </w:r>
          </w:p>
          <w:p>
            <w:pPr>
              <w:pStyle w:val="null3"/>
              <w:jc w:val="both"/>
            </w:pPr>
            <w:r>
              <w:rPr>
                <w:rFonts w:ascii="仿宋_GB2312" w:hAnsi="仿宋_GB2312" w:cs="仿宋_GB2312" w:eastAsia="仿宋_GB2312"/>
                <w:sz w:val="18"/>
                <w:color w:val="000000"/>
              </w:rPr>
              <w:t>二、工程量清单：详见附件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符合磋商文件和国家规定验收标准，质量要求：达到现行施工验收规范合格标准 交付竣工验收的工程，必须符合规定的 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1、材料的质量直接影响装修装饰工程的质量和效果，因此，在材料选用上需慎重。应选择符合设计要求、质量可靠、性能优良的材料，严禁使用不合格或伪劣材料。在材料选用时，还应考虑环保、节能等因素。 2、施工工艺的选择直接关系到装修装饰工程的最终效果和质量。应根据设计要求和工程特点，选择合适的施工工艺，并保证施工工艺的可行性和可靠性。同时，应积极采用新技术、新工艺，提高施工效率和质量。 3、产品属于优先采购节能、环境标志产品范围的，应当优先采购节 能、环境标志产品；产品符合政府采购强制采购政策的，实行强制采购。</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须具备建设部门颁发的建筑工程施工总承包二级（含）及以上资质，且具有有效的安全生产许可证；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拟委派项目经理须具有有效的建筑工程专业二级（含）及以上注册建造师执业资格并具有有效的安全生产考核合格证（B证），在本单位注册且无在建项目；</w:t>
            </w:r>
          </w:p>
        </w:tc>
        <w:tc>
          <w:tcPr>
            <w:tcW w:type="dxa" w:w="1661"/>
          </w:tcPr>
          <w:p>
            <w:pPr>
              <w:pStyle w:val="null3"/>
            </w:pPr>
            <w:r>
              <w:rPr>
                <w:rFonts w:ascii="仿宋_GB2312" w:hAnsi="仿宋_GB2312" w:cs="仿宋_GB2312" w:eastAsia="仿宋_GB2312"/>
              </w:rPr>
              <w:t>供应商应提交的相关资格证明材料.docx 项目管理机构人员表.docx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法定代表人或授权代表证明</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磋商无效条件：供应商报价超出采购预算或最高限价的</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商无效条件：响应文件未按采购文件要求签署、盖章的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报价函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磋商无效条件：投标有效期不满足磋商文件要求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磋商无效条件：存在其它不符合法律法规或磋商文件规定的投标无效情形</w:t>
            </w:r>
          </w:p>
        </w:tc>
        <w:tc>
          <w:tcPr>
            <w:tcW w:type="dxa" w:w="1661"/>
          </w:tcPr>
          <w:p>
            <w:pPr>
              <w:pStyle w:val="null3"/>
            </w:pPr>
            <w:r>
              <w:rPr>
                <w:rFonts w:ascii="仿宋_GB2312" w:hAnsi="仿宋_GB2312" w:cs="仿宋_GB2312" w:eastAsia="仿宋_GB2312"/>
              </w:rPr>
              <w:t>响应文件封面 已标价工程量清单.docx 供应商应提交的相关资格证明材料.docx 中小企业声明函 报价函 标的清单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施工组织方案（施工部署）</w:t>
            </w:r>
          </w:p>
        </w:tc>
        <w:tc>
          <w:tcPr>
            <w:tcW w:type="dxa" w:w="2492"/>
          </w:tcPr>
          <w:p>
            <w:pPr>
              <w:pStyle w:val="null3"/>
            </w:pPr>
            <w:r>
              <w:rPr>
                <w:rFonts w:ascii="仿宋_GB2312" w:hAnsi="仿宋_GB2312" w:cs="仿宋_GB2312" w:eastAsia="仿宋_GB2312"/>
              </w:rPr>
              <w:t>施工部署： 提供针对本项目施工部署计划方案。 1、评审内容： ①施工目标：成本目标、工期目标、质量目标； ②资源配备计划：主要施工机械设备、劳动力等配备计划及主材进场计划。 2、评审标准： ①完整性：响应全面，对评审内容中的各项要求有详细描述 ②可实施性：内容科学，步骤清晰、合理，可实施性强； ③针对性：能够紧扣项目实际情况，满足具体要求。 3、赋分标准： ①施工目标：完全满足评审标准得3分； ②资源配备计划：完全满足评审标准得3分。每有一项评审内容存在缺陷，扣0.5-1分，扣完为止。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施工组织方案（施工措施）</w:t>
            </w:r>
          </w:p>
        </w:tc>
        <w:tc>
          <w:tcPr>
            <w:tcW w:type="dxa" w:w="2492"/>
          </w:tcPr>
          <w:p>
            <w:pPr>
              <w:pStyle w:val="null3"/>
            </w:pPr>
            <w:r>
              <w:rPr>
                <w:rFonts w:ascii="仿宋_GB2312" w:hAnsi="仿宋_GB2312" w:cs="仿宋_GB2312" w:eastAsia="仿宋_GB2312"/>
              </w:rPr>
              <w:t>施工措施： 提供针对本项目的相关技术措施保障。 1、评审内容： ①工程重难点及解决方案； ②施工方法及工艺； ③相关技术措施：施工质量通病防治措施、成品保护措施等； ④应急措施：自然灾害和安全事故等紧急情况的应急措施； 2、评审标准：①完整性：响应全面，对评审内容中的各项要求有详细描述 ②可实施性：内容科学，步骤清晰、合理，可实施性强； ③针对性：能够紧扣项目实际情况，满足具体要求。 3、赋分标准： ①工程重难点及解决措施：完全满足评审标准得3分； ②施工方法及工艺：完全满足评审标准得3分； ③相关技术措施：完全满足评审标准得3分； ④应急措施：完全满足评审标准得3分。每有一项评审内容存在缺陷，扣0.5-1分，扣完为止。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施工组织方案（施工进度）</w:t>
            </w:r>
          </w:p>
        </w:tc>
        <w:tc>
          <w:tcPr>
            <w:tcW w:type="dxa" w:w="2492"/>
          </w:tcPr>
          <w:p>
            <w:pPr>
              <w:pStyle w:val="null3"/>
            </w:pPr>
            <w:r>
              <w:rPr>
                <w:rFonts w:ascii="仿宋_GB2312" w:hAnsi="仿宋_GB2312" w:cs="仿宋_GB2312" w:eastAsia="仿宋_GB2312"/>
              </w:rPr>
              <w:t>施工进度： 1、评审内容： ①施工进度安排：施工进度目标和施工总进度计划表； ②进度保障措施：工期保证措施、特殊情况（夜间、雨季、高低温等其它情况）保证等。 2、评审标准： ①完整性：响应全面，对评审内容中的各项要求有详细描述 ②可实施性：内容科学，步骤清晰、合理，可实施性强； ③针对性：能够紧扣项目实际情况，满足具体要求。 3、赋分标准： ①施工总进度：完全满足评审标准得6分； ②进度保障措施；完全满足评审标准得3分。每有一项评审内容存在缺陷，扣0.5-1分，扣完为止。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施工组织方案（环境保护措施）</w:t>
            </w:r>
          </w:p>
        </w:tc>
        <w:tc>
          <w:tcPr>
            <w:tcW w:type="dxa" w:w="2492"/>
          </w:tcPr>
          <w:p>
            <w:pPr>
              <w:pStyle w:val="null3"/>
            </w:pPr>
            <w:r>
              <w:rPr>
                <w:rFonts w:ascii="仿宋_GB2312" w:hAnsi="仿宋_GB2312" w:cs="仿宋_GB2312" w:eastAsia="仿宋_GB2312"/>
              </w:rPr>
              <w:t>环境保护措施： 1、评审内容： ①环境保护管理体系； ②环保控制措施：污染物及废弃物处理的排放、噪音控制、防尘及扬尘的控制措施。 2、评审标准： ①完整性：响应全面，对评审内容中的各项要求有详细描述 ②可实施性：内容科学，步骤清晰、合理，可实施性强； ③针对性：能够紧扣项目实际情况，满足具体要求。 3、赋分标准： ①环境保护管理体系：完全满足评审标准得3分； ②环保控制措施：完全满足评审标准得3分。完全满足评审标准得3分。每有一项评审内容存在缺陷，扣0.5-1分，扣完为止。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施工组织方案（质量管理）</w:t>
            </w:r>
          </w:p>
        </w:tc>
        <w:tc>
          <w:tcPr>
            <w:tcW w:type="dxa" w:w="2492"/>
          </w:tcPr>
          <w:p>
            <w:pPr>
              <w:pStyle w:val="null3"/>
            </w:pPr>
            <w:r>
              <w:rPr>
                <w:rFonts w:ascii="仿宋_GB2312" w:hAnsi="仿宋_GB2312" w:cs="仿宋_GB2312" w:eastAsia="仿宋_GB2312"/>
              </w:rPr>
              <w:t>质量管理： 提供针对本项目完善的质量保证管理体系及相关措施。 1、评审内容： ①质量管理目标； ②施工质量保障措施； ③施工质量检验制度。 2、评审标准： ①完整性：响应全面，对评审内容中的各项要求有详细描述 ②可实施性：内容科学，步骤清晰、合理，可实施性强； ③针对性：能够紧扣项目实际情况，满足具体要求。 3、赋分标准： ①质量管理目标：完全满足评审标准得3分； ②施工质量保障措施：完全满足评审标准得3分； ③施工质量检验制度：完全满足评审标准得3分。每有一项评审内容存在缺陷，扣0.5-1分，扣完为止。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施工组织方案（安全管理）</w:t>
            </w:r>
          </w:p>
        </w:tc>
        <w:tc>
          <w:tcPr>
            <w:tcW w:type="dxa" w:w="2492"/>
          </w:tcPr>
          <w:p>
            <w:pPr>
              <w:pStyle w:val="null3"/>
            </w:pPr>
            <w:r>
              <w:rPr>
                <w:rFonts w:ascii="仿宋_GB2312" w:hAnsi="仿宋_GB2312" w:cs="仿宋_GB2312" w:eastAsia="仿宋_GB2312"/>
              </w:rPr>
              <w:t>安全管理： 提供针对本项目的安全管理体系与相关措施。 一、安全生产及文明施工（6分） 1、评审内容： ①安全管理体系：安全制度、安全责任划分，标识及安全装备配备、安全教育培训等； ②文明施工：施工现场管理、材料及机具堆放、检查措施等。 2、评审标准： ①完整性：响应全面，对评审内容中的各项要求有详细描述 ②可实施性：内容科学，步骤清晰、合理，可实施性强； ③针对性：能够紧扣项目实际情况，满足具体要求。 3、赋分标准： ①安全管理体系：完全满足评审标准得3分； ②文明施工：完全满足评审标准得3分；每有一项评审内容存在缺陷，扣0.5-1分，扣完为止。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 二、执行强规（2分） 执行国家、行业、地方强制性标准规范并在方案中明确响应规范的得2分，否则不得分。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施工组织方案（项目组织管理机构）</w:t>
            </w:r>
          </w:p>
        </w:tc>
        <w:tc>
          <w:tcPr>
            <w:tcW w:type="dxa" w:w="2492"/>
          </w:tcPr>
          <w:p>
            <w:pPr>
              <w:pStyle w:val="null3"/>
            </w:pPr>
            <w:r>
              <w:rPr>
                <w:rFonts w:ascii="仿宋_GB2312" w:hAnsi="仿宋_GB2312" w:cs="仿宋_GB2312" w:eastAsia="仿宋_GB2312"/>
              </w:rPr>
              <w:t>项目组织管理机构： 提供项目的组织管理机构情况，包括但不限于拟派项目部的组织架构、岗位职责、人员资质、人员分工等。 项目部组织结构健全，有完善的岗位制度和岗位职责，人员安排合理、分工明确，完全符合项目需要的，得4分； 项目部组织结构不健全，岗位制度和岗位职责安排简单，基本符合项目需要的，但存在内容缺陷每有一处扣0.5分，扣完为止。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保修承诺: 1、评审内容： ①保修措施及承诺：工程维修服务承诺、保修措施和响应时限； ②应急维护：紧急情况抢修，发生质量问题后的补救措施。 2、评审标准： ①完整性：响应全面，对评审内容中的各项要求有详细描述 ②可实施性及针对性：内容科学，能够紧扣项目实际情况，步骤清晰、合理，可实施性强； 3、赋分标准： ①保修措施及承诺：完全满足评审标准得满分3分； ②应急维护：完全满足评审标准得3分。每有一项评审内容存在缺陷，扣0.5-1分，扣完为止。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供应商具有2023年1月至今的类似项目业绩证明文件（以合同签订时间为准），提供合同复印件加盖公章，每个业绩得2.5分，最高得5分。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主材性能：提供针对本项目的主材清单（清单内容包括但不限于材料名称、品牌、规格、材质等）。 1、评审内容： 对主材清单内容进行评审。 2、评审及赋分标准： 清单内容完整，主材质量、工艺优良，安全可靠性高，完全满足项目需求的得5分，清单内容有缺陷，每有一处扣0.5-1分，扣完为止。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详见附件：范本--合同.docx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