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（货物类）</w:t>
      </w:r>
      <w:r>
        <w:br/>
      </w:r>
      <w:r>
        <w:br/>
      </w:r>
      <w:r>
        <w:br/>
      </w:r>
      <w:r>
        <w:br/>
      </w:r>
      <w:r>
        <w:br/>
      </w:r>
      <w:r>
        <w:br/>
      </w:r>
      <w:r>
        <w:br/>
      </w:r>
      <w:r>
        <w:br/>
      </w:r>
      <w:r>
        <w:br/>
      </w:r>
      <w:r>
        <w:br/>
      </w:r>
      <w:r>
        <w:br/>
      </w:r>
    </w:p>
    <w:p>
      <w:pPr>
        <w:pStyle w:val="null3"/>
        <w:jc w:val="center"/>
        <w:outlineLvl w:val="5"/>
      </w:pPr>
      <w:r>
        <w:rPr>
          <w:b/>
          <w:sz w:val="15"/>
        </w:rPr>
        <w:t>项目名称：</w:t>
      </w:r>
      <w:r>
        <w:rPr>
          <w:b/>
          <w:sz w:val="15"/>
        </w:rPr>
        <w:t>西安市鄠邑区2024年美国白蛾防控—诱捕器购置项目</w:t>
      </w:r>
    </w:p>
    <w:p>
      <w:pPr>
        <w:pStyle w:val="null3"/>
        <w:jc w:val="center"/>
        <w:outlineLvl w:val="5"/>
      </w:pPr>
      <w:r>
        <w:rPr>
          <w:b/>
          <w:sz w:val="15"/>
        </w:rPr>
        <w:t xml:space="preserve">项目编号: </w:t>
      </w:r>
      <w:r>
        <w:rPr>
          <w:b/>
          <w:sz w:val="15"/>
        </w:rPr>
        <w:t>YD2024-003</w:t>
      </w:r>
      <w:r>
        <w:br/>
      </w:r>
      <w:r>
        <w:br/>
      </w:r>
      <w:r>
        <w:br/>
      </w:r>
      <w:r>
        <w:br/>
      </w:r>
      <w:r>
        <w:br/>
      </w:r>
    </w:p>
    <w:p>
      <w:pPr>
        <w:pStyle w:val="null3"/>
        <w:jc w:val="center"/>
        <w:outlineLvl w:val="5"/>
      </w:pPr>
      <w:r>
        <w:rPr>
          <w:b/>
          <w:sz w:val="15"/>
        </w:rPr>
        <w:t>西安市鄠邑区森林资源管理中心</w:t>
      </w:r>
    </w:p>
    <w:p>
      <w:pPr>
        <w:pStyle w:val="null3"/>
        <w:jc w:val="center"/>
        <w:outlineLvl w:val="5"/>
      </w:pPr>
      <w:r>
        <w:rPr>
          <w:b/>
          <w:sz w:val="15"/>
        </w:rPr>
        <w:t>陕西云鼎项目管理有限责任公司</w:t>
      </w:r>
      <w:r>
        <w:rPr>
          <w:b/>
          <w:sz w:val="15"/>
        </w:rPr>
        <w:t>共同编制</w:t>
      </w:r>
    </w:p>
    <w:p>
      <w:pPr>
        <w:pStyle w:val="null3"/>
        <w:jc w:val="center"/>
        <w:outlineLvl w:val="5"/>
      </w:pPr>
      <w:r>
        <w:rPr>
          <w:b/>
          <w:sz w:val="15"/>
        </w:rPr>
        <w:t>2024年03月22日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陕西云鼎项目管理有限责任公司</w:t>
      </w:r>
      <w:r>
        <w:rPr/>
        <w:t>（以下简称“代理机构”）受</w:t>
      </w:r>
      <w:r>
        <w:rPr/>
        <w:t>西安市鄠邑区森林资源管理中心</w:t>
      </w:r>
      <w:r>
        <w:rPr/>
        <w:t>委托，拟对</w:t>
      </w:r>
      <w:r>
        <w:rPr/>
        <w:t>西安市鄠邑区2024年美国白蛾防控—诱捕器购置项目</w:t>
      </w:r>
      <w:r>
        <w:rPr/>
        <w:t>采用单一来源方式进行采购，现邀请贵公司参加该项目的协商。</w:t>
      </w:r>
    </w:p>
    <w:p>
      <w:pPr>
        <w:pStyle w:val="null3"/>
        <w:outlineLvl w:val="2"/>
      </w:pPr>
      <w:r>
        <w:rPr>
          <w:b/>
          <w:sz w:val="28"/>
        </w:rPr>
        <w:t>一、采购项目编号：</w:t>
      </w:r>
      <w:r>
        <w:rPr>
          <w:b/>
          <w:sz w:val="28"/>
        </w:rPr>
        <w:t>YD2024-003</w:t>
      </w:r>
    </w:p>
    <w:p>
      <w:pPr>
        <w:pStyle w:val="null3"/>
        <w:outlineLvl w:val="2"/>
      </w:pPr>
      <w:r>
        <w:rPr>
          <w:b/>
          <w:sz w:val="28"/>
        </w:rPr>
        <w:t>二、采购项目名称：</w:t>
      </w:r>
      <w:r>
        <w:rPr>
          <w:b/>
          <w:sz w:val="28"/>
        </w:rPr>
        <w:t>西安市鄠邑区2024年美国白蛾防控—诱捕器购置项目</w:t>
      </w:r>
    </w:p>
    <w:p>
      <w:pPr>
        <w:pStyle w:val="null3"/>
        <w:outlineLvl w:val="2"/>
      </w:pPr>
      <w:r>
        <w:rPr>
          <w:b/>
          <w:sz w:val="28"/>
        </w:rPr>
        <w:t>三、协商项目简介：</w:t>
      </w:r>
    </w:p>
    <w:p>
      <w:pPr>
        <w:pStyle w:val="null3"/>
        <w:ind w:firstLine="480"/>
      </w:pPr>
      <w:r>
        <w:rPr/>
        <w:t>美国白蛾是入侵我国林业的重大害虫，对林业资源、生态绿地等造成极大的生态环境威胁和经济损失。为做好西安市鄠邑区2024年美国白蛾防控工作，巩固美国白蛾防控成果，确保我区生态安全。结合我区历年来美国白蛾发生趋势和防控工作进展，西安市鄠邑区2024年美国白蛾防控—诱捕器购置项目，按照《西安市鄠邑区2024年美国白蛾防控方案》，计划购置美国白蛾性诱捕器2000套，对美国白蛾成虫进行监测和防治。</w:t>
      </w:r>
    </w:p>
    <w:p>
      <w:pPr>
        <w:pStyle w:val="null3"/>
        <w:outlineLvl w:val="2"/>
      </w:pPr>
      <w:r>
        <w:rPr>
          <w:b/>
          <w:sz w:val="28"/>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直接参与采购的，须出具法定代表人证明（附法人身份证复印件）；法定代表人授权代表参与采购的，须出具法人授权委托书（附法人及授权代表身份证复印件）：法定代表人直接参与采购的，须出具法定代表人证明（附法人身份证复印件）；法定代表人授权代表参与采购的，须出具法人授权委托书（附法人及授权代表身份证复印件）。供应商需在项目电子化交易系统中按要求上传相应证明文件并进行电子签章。</w:t>
      </w:r>
    </w:p>
    <w:p>
      <w:pPr>
        <w:pStyle w:val="null3"/>
        <w:ind w:firstLine="480"/>
      </w:pPr>
      <w:r>
        <w:rPr/>
        <w:t>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b/>
          <w:sz w:val="28"/>
        </w:rPr>
        <w:t>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西安市鄠邑区森林资源管理中心</w:t>
      </w:r>
    </w:p>
    <w:p>
      <w:pPr>
        <w:pStyle w:val="null3"/>
      </w:pPr>
      <w:r>
        <w:rPr/>
        <w:t xml:space="preserve"> 地址： </w:t>
      </w:r>
      <w:r>
        <w:rPr/>
        <w:t>丰京路42号林业局4楼</w:t>
      </w:r>
    </w:p>
    <w:p>
      <w:pPr>
        <w:pStyle w:val="null3"/>
      </w:pPr>
      <w:r>
        <w:rPr/>
        <w:t xml:space="preserve"> 邮编： </w:t>
      </w:r>
      <w:r>
        <w:rPr/>
        <w:t>710300</w:t>
      </w:r>
    </w:p>
    <w:p>
      <w:pPr>
        <w:pStyle w:val="null3"/>
      </w:pPr>
      <w:r>
        <w:rPr/>
        <w:t xml:space="preserve"> 联系人： </w:t>
      </w:r>
      <w:r>
        <w:rPr/>
        <w:t>罗静贤</w:t>
      </w:r>
    </w:p>
    <w:p>
      <w:pPr>
        <w:pStyle w:val="null3"/>
      </w:pPr>
      <w:r>
        <w:rPr/>
        <w:t xml:space="preserve"> 联系电话： </w:t>
      </w:r>
      <w:r>
        <w:rPr/>
        <w:t>17791991889</w:t>
      </w:r>
    </w:p>
    <w:p>
      <w:pPr>
        <w:pStyle w:val="null3"/>
        <w:outlineLvl w:val="2"/>
      </w:pPr>
      <w:r>
        <w:rPr>
          <w:b/>
          <w:sz w:val="28"/>
        </w:rPr>
        <w:t>代理机构：</w:t>
      </w:r>
      <w:r>
        <w:rPr>
          <w:b/>
          <w:sz w:val="28"/>
        </w:rPr>
        <w:t>陕西云鼎项目管理有限责任公司</w:t>
      </w:r>
    </w:p>
    <w:p>
      <w:pPr>
        <w:pStyle w:val="null3"/>
      </w:pPr>
      <w:r>
        <w:rPr/>
        <w:t xml:space="preserve"> 地址： </w:t>
      </w:r>
      <w:r>
        <w:rPr/>
        <w:t>西安市碑林区南二环西段21号华融国际商务大厦A座18层03室</w:t>
      </w:r>
    </w:p>
    <w:p>
      <w:pPr>
        <w:pStyle w:val="null3"/>
      </w:pPr>
      <w:r>
        <w:rPr/>
        <w:t xml:space="preserve"> 邮编： </w:t>
      </w:r>
      <w:r>
        <w:rPr/>
        <w:t>710000</w:t>
      </w:r>
    </w:p>
    <w:p>
      <w:pPr>
        <w:pStyle w:val="null3"/>
      </w:pPr>
      <w:r>
        <w:rPr/>
        <w:t xml:space="preserve"> 联系人： </w:t>
      </w:r>
      <w:r>
        <w:rPr/>
        <w:t>古德隆</w:t>
      </w:r>
    </w:p>
    <w:p>
      <w:pPr>
        <w:pStyle w:val="null3"/>
      </w:pPr>
      <w:r>
        <w:rPr/>
        <w:t xml:space="preserve"> 联系电话： </w:t>
      </w:r>
      <w:r>
        <w:rPr/>
        <w:t>13759999744、13892888735</w:t>
      </w:r>
    </w:p>
    <w:p>
      <w:pPr>
        <w:pStyle w:val="null3"/>
        <w:outlineLvl w:val="2"/>
      </w:pPr>
      <w:r>
        <w:rPr>
          <w:b/>
          <w:sz w:val="28"/>
        </w:rPr>
        <w:t>采购监督机构：</w:t>
      </w:r>
      <w:r>
        <w:rPr>
          <w:b/>
          <w:sz w:val="28"/>
        </w:rPr>
        <w:t>鄠邑区政府采购管理股</w:t>
      </w:r>
    </w:p>
    <w:p>
      <w:pPr>
        <w:pStyle w:val="null3"/>
        <w:ind w:firstLine="480"/>
      </w:pPr>
      <w:r>
        <w:rPr/>
        <w:t>联系人：</w:t>
      </w:r>
      <w:r>
        <w:rPr/>
        <w:t>李清维</w:t>
      </w:r>
    </w:p>
    <w:p>
      <w:pPr>
        <w:pStyle w:val="null3"/>
        <w:ind w:firstLine="480"/>
      </w:pPr>
      <w:r>
        <w:rPr/>
        <w:t>联系电话：</w:t>
      </w:r>
      <w:r>
        <w:rPr/>
        <w:t>84882872</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采购包1：596,000.00元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采购包1：596,000.00元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服务费参照国家计委关于印发《招标代理服务收费管理暂行办法》的通知（计价格〔2002〕1980号）、《国家发展和改革委员会办公厅关于招标代理服务收费有关问题的通知》（发改办价格〔2003〕857号）标准收取，具体收费金额将在结果公告中公布。由成交供应商在领取成交通知书前，向采购代理机构一次性支付。</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西安市鄠邑区森林资源管理中心</w:t>
      </w:r>
      <w:r>
        <w:rPr/>
        <w:t>和</w:t>
      </w:r>
      <w:r>
        <w:rPr/>
        <w:t>陕西云鼎项目管理有限责任公司</w:t>
      </w:r>
      <w:r>
        <w:rPr/>
        <w:t>享有。对采购文件中供应商参加本次政府采购活动应当具备的条件、项目技术、服务、商务及其他要求，评审标准由采购人负责解释。除上述采购文件内容，其他内容由</w:t>
      </w:r>
      <w:r>
        <w:rPr/>
        <w:t>陕西云鼎项目管理有限责任公司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西安市鄠邑区森林资源管理中心</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陕西云鼎项目管理有限责任公司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b/>
          <w:sz w:val="24"/>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抽检诱捕器及诱芯数量是否合格；检验产品包装箱上是否具有生产批号和生产日期、产品是否在有效期内；检验外包装箱内是否有产品说明书和合格证；检验产品配件是否完整无瑕疵等</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陕西云鼎项目管理有限责任公司</w:t>
      </w:r>
      <w:r>
        <w:rPr/>
        <w:t xml:space="preserve"> 负责答复；供应商对除采购需求外的采购文件的询问、质疑由</w:t>
      </w:r>
      <w:r>
        <w:rPr/>
        <w:t>陕西云鼎项目管理有限责任公司</w:t>
      </w:r>
      <w:r>
        <w:rPr/>
        <w:t xml:space="preserve"> 负责答复；供应商对采购过程、采购结果的询问、质疑由 </w:t>
      </w:r>
      <w:r>
        <w:rPr/>
        <w:t>陕西云鼎项目管理有限责任公司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 xml:space="preserve"> 美国白蛾是入侵我国林业的重大害虫，对林业资源、生态绿地等造成极大的生态环境威胁和经济损失。为做好西安市鄠邑区2024年美国白蛾防控工作，巩固美国白蛾防控成果，确保我区生态安全。结合我区历年来美国白蛾发生趋势和防控工作进展，西安市鄠邑区2024年美国白蛾诱捕器购置项目，按照《西安市鄠邑区2024年美国白蛾防控方案》，计划购置美国白蛾性诱捕器2000套，对美国白蛾成虫进行监测和防治.</w:t>
      </w:r>
    </w:p>
    <w:p>
      <w:pPr>
        <w:pStyle w:val="null3"/>
        <w:outlineLvl w:val="2"/>
      </w:pPr>
      <w:r>
        <w:rPr>
          <w:b/>
          <w:sz w:val="28"/>
        </w:rPr>
        <w:t>3.2采购内容</w:t>
      </w:r>
    </w:p>
    <w:p>
      <w:pPr>
        <w:pStyle w:val="null3"/>
      </w:pPr>
      <w:r>
        <w:rPr/>
        <w:t>采购包1：</w:t>
      </w:r>
    </w:p>
    <w:p>
      <w:pPr>
        <w:pStyle w:val="null3"/>
      </w:pPr>
      <w:r>
        <w:rPr/>
        <w:t>采购包预算金额（元）: 596,000.00</w:t>
      </w:r>
    </w:p>
    <w:p>
      <w:pPr>
        <w:pStyle w:val="null3"/>
      </w:pPr>
      <w:r>
        <w:rPr/>
        <w:t>采购包最高限价（元）: 596,000.00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美国白蛾诱捕器及诱芯</w:t>
            </w:r>
          </w:p>
        </w:tc>
        <w:tc>
          <w:tcPr>
            <w:tcW w:type="dxa" w:w="831"/>
          </w:tcPr>
          <w:p>
            <w:pPr>
              <w:pStyle w:val="null3"/>
              <w:jc w:val="right"/>
            </w:pPr>
            <w:r>
              <w:rPr/>
              <w:t>2,000.00</w:t>
            </w:r>
          </w:p>
        </w:tc>
        <w:tc>
          <w:tcPr>
            <w:tcW w:type="dxa" w:w="831"/>
          </w:tcPr>
          <w:p>
            <w:pPr>
              <w:pStyle w:val="null3"/>
              <w:jc w:val="right"/>
            </w:pPr>
            <w:r>
              <w:rPr/>
              <w:t>596,000.00</w:t>
            </w:r>
          </w:p>
        </w:tc>
        <w:tc>
          <w:tcPr>
            <w:tcW w:type="dxa" w:w="831"/>
          </w:tcPr>
          <w:p>
            <w:pPr>
              <w:pStyle w:val="null3"/>
            </w:pPr>
            <w:r>
              <w:rPr/>
              <w:t>套</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标的名称：美国白蛾诱捕器及诱芯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562"/>
              <w:jc w:val="both"/>
            </w:pPr>
            <w:r>
              <w:rPr>
                <w:rFonts w:ascii="仿宋_gb2312" w:hAnsi="仿宋_gb2312" w:cs="仿宋_gb2312" w:eastAsia="仿宋_gb2312"/>
                <w:b/>
                <w:sz w:val="18"/>
              </w:rPr>
              <w:t>（一）美国白蛾诱捕器参数</w:t>
            </w:r>
          </w:p>
          <w:p>
            <w:pPr>
              <w:pStyle w:val="null3"/>
              <w:ind w:firstLine="560"/>
              <w:jc w:val="both"/>
            </w:pPr>
            <w:r>
              <w:rPr>
                <w:rFonts w:ascii="仿宋_gb2312" w:hAnsi="仿宋_gb2312" w:cs="仿宋_gb2312" w:eastAsia="仿宋_gb2312"/>
                <w:sz w:val="18"/>
              </w:rPr>
              <w:t>1、诱捕器参数:</w:t>
            </w:r>
          </w:p>
          <w:p>
            <w:pPr>
              <w:pStyle w:val="null3"/>
              <w:ind w:firstLine="560"/>
              <w:jc w:val="both"/>
            </w:pPr>
            <w:r>
              <w:rPr>
                <w:rFonts w:ascii="仿宋_gb2312" w:hAnsi="仿宋_gb2312" w:cs="仿宋_gb2312" w:eastAsia="仿宋_gb2312"/>
                <w:sz w:val="18"/>
              </w:rPr>
              <w:t>①诱捕器组成:遮雨盖1个、火锅式连接件1个、集虫桶1个、诱芯安装片1个。</w:t>
            </w:r>
          </w:p>
          <w:p>
            <w:pPr>
              <w:pStyle w:val="null3"/>
              <w:ind w:firstLine="560"/>
              <w:jc w:val="both"/>
            </w:pPr>
            <w:r>
              <w:rPr>
                <w:rFonts w:ascii="仿宋_gb2312" w:hAnsi="仿宋_gb2312" w:cs="仿宋_gb2312" w:eastAsia="仿宋_gb2312"/>
                <w:sz w:val="18"/>
              </w:rPr>
              <w:t>②尺寸规格:</w:t>
            </w:r>
          </w:p>
          <w:p>
            <w:pPr>
              <w:pStyle w:val="null3"/>
              <w:ind w:firstLine="560"/>
              <w:jc w:val="both"/>
            </w:pPr>
            <w:r>
              <w:rPr>
                <w:rFonts w:ascii="仿宋_gb2312" w:hAnsi="仿宋_gb2312" w:cs="仿宋_gb2312" w:eastAsia="仿宋_gb2312"/>
                <w:sz w:val="18"/>
              </w:rPr>
              <w:t>(1)遮雨盖:圆形,直径大于连接件直径,四个可用于固定支撑漏斗的圆柱形孔,其中相对的两个可以穿通,同于固定铁丝,中心向下圆点处有用于悬挂、固定诱芯的带孔小圆柱体,与美国白蛾诱芯配套使用。</w:t>
            </w:r>
          </w:p>
          <w:p>
            <w:pPr>
              <w:pStyle w:val="null3"/>
              <w:ind w:firstLine="560"/>
              <w:jc w:val="both"/>
            </w:pPr>
            <w:r>
              <w:rPr>
                <w:rFonts w:ascii="仿宋_gb2312" w:hAnsi="仿宋_gb2312" w:cs="仿宋_gb2312" w:eastAsia="仿宋_gb2312"/>
                <w:sz w:val="18"/>
              </w:rPr>
              <w:t>(2)火锅式连接件:高:210mm;相对的两个支撑杆分别长30±1mm和40±2mm；上端内径95±1mm、外径120±2mm；下端内径30±2mm、外径165±2mm,漏斗高95±1mm。</w:t>
            </w:r>
          </w:p>
          <w:p>
            <w:pPr>
              <w:pStyle w:val="null3"/>
              <w:ind w:firstLine="560"/>
              <w:jc w:val="both"/>
            </w:pPr>
            <w:r>
              <w:rPr>
                <w:rFonts w:ascii="仿宋_gb2312" w:hAnsi="仿宋_gb2312" w:cs="仿宋_gb2312" w:eastAsia="仿宋_gb2312"/>
                <w:sz w:val="18"/>
              </w:rPr>
              <w:t>③集虫桶:上端内径153±3mm、外径166±3mm；下端直径132±2mm、桶高133±3mm。</w:t>
            </w:r>
          </w:p>
          <w:p>
            <w:pPr>
              <w:pStyle w:val="null3"/>
              <w:ind w:firstLine="560"/>
              <w:jc w:val="both"/>
            </w:pPr>
            <w:r>
              <w:rPr>
                <w:rFonts w:ascii="仿宋_gb2312" w:hAnsi="仿宋_gb2312" w:cs="仿宋_gb2312" w:eastAsia="仿宋_gb2312"/>
                <w:sz w:val="18"/>
              </w:rPr>
              <w:t>④诱捕器耐性强度须满足:拉伸强度不小于32MPa；简支梁缺口冲击强度不小于4.8KJ/m2;经紫外老化后拉伸强度不小于31MPa;简支梁缺口冲击强度不小于4.5KJ/M2。</w:t>
            </w:r>
          </w:p>
          <w:p>
            <w:pPr>
              <w:pStyle w:val="null3"/>
              <w:ind w:firstLine="560"/>
              <w:jc w:val="both"/>
            </w:pPr>
            <w:r>
              <w:rPr>
                <w:rFonts w:ascii="仿宋_gb2312" w:hAnsi="仿宋_gb2312" w:cs="仿宋_gb2312" w:eastAsia="仿宋_gb2312"/>
                <w:sz w:val="18"/>
              </w:rPr>
              <w:t>2、美国白蛾性信息素诱芯参数:</w:t>
            </w:r>
          </w:p>
          <w:p>
            <w:pPr>
              <w:pStyle w:val="null3"/>
              <w:ind w:firstLine="560"/>
              <w:jc w:val="both"/>
            </w:pPr>
            <w:r>
              <w:rPr>
                <w:rFonts w:ascii="仿宋_gb2312" w:hAnsi="仿宋_gb2312" w:cs="仿宋_gb2312" w:eastAsia="仿宋_gb2312"/>
                <w:sz w:val="18"/>
              </w:rPr>
              <w:t>①主要成分：美国白蛾信息素</w:t>
            </w:r>
          </w:p>
          <w:p>
            <w:pPr>
              <w:pStyle w:val="null3"/>
              <w:ind w:firstLine="560"/>
              <w:jc w:val="both"/>
            </w:pPr>
            <w:r>
              <w:rPr>
                <w:rFonts w:ascii="仿宋_gb2312" w:hAnsi="仿宋_gb2312" w:cs="仿宋_gb2312" w:eastAsia="仿宋_gb2312"/>
                <w:sz w:val="18"/>
              </w:rPr>
              <w:t>②缓释载体:聚乙烯塑料片,长36~40mm,宽17~20mm；</w:t>
            </w:r>
          </w:p>
          <w:p>
            <w:pPr>
              <w:pStyle w:val="null3"/>
              <w:ind w:firstLine="560"/>
              <w:jc w:val="both"/>
            </w:pPr>
            <w:r>
              <w:rPr>
                <w:rFonts w:ascii="仿宋_gb2312" w:hAnsi="仿宋_gb2312" w:cs="仿宋_gb2312" w:eastAsia="仿宋_gb2312"/>
                <w:sz w:val="18"/>
              </w:rPr>
              <w:t>③缓料时间:75~90天</w:t>
            </w:r>
          </w:p>
          <w:p>
            <w:pPr>
              <w:pStyle w:val="null3"/>
              <w:ind w:firstLine="560"/>
              <w:jc w:val="both"/>
            </w:pPr>
            <w:r>
              <w:rPr>
                <w:rFonts w:ascii="仿宋_gb2312" w:hAnsi="仿宋_gb2312" w:cs="仿宋_gb2312" w:eastAsia="仿宋_gb2312"/>
                <w:sz w:val="18"/>
              </w:rPr>
              <w:t>④美国白蛾诱芯具有省级及省级以上信息素含量分析测试报告;</w:t>
            </w:r>
          </w:p>
          <w:p>
            <w:pPr>
              <w:pStyle w:val="null3"/>
              <w:ind w:firstLine="562"/>
              <w:jc w:val="both"/>
            </w:pPr>
            <w:r>
              <w:rPr>
                <w:rFonts w:ascii="仿宋_gb2312" w:hAnsi="仿宋_gb2312" w:cs="仿宋_gb2312" w:eastAsia="仿宋_gb2312"/>
                <w:b/>
                <w:sz w:val="18"/>
              </w:rPr>
              <w:t>（二）</w:t>
            </w:r>
            <w:r>
              <w:rPr>
                <w:rFonts w:ascii="仿宋_gb2312" w:hAnsi="仿宋_gb2312" w:cs="仿宋_gb2312" w:eastAsia="仿宋_gb2312"/>
                <w:b/>
                <w:sz w:val="18"/>
              </w:rPr>
              <w:t>技术要求</w:t>
            </w:r>
          </w:p>
          <w:p>
            <w:pPr>
              <w:pStyle w:val="null3"/>
              <w:jc w:val="both"/>
            </w:pPr>
            <w:r>
              <w:rPr>
                <w:rFonts w:ascii="仿宋_gb2312" w:hAnsi="仿宋_gb2312" w:cs="仿宋_gb2312" w:eastAsia="仿宋_gb2312"/>
                <w:sz w:val="18"/>
              </w:rPr>
              <w:t>供应商必须对本项目整体进行投标，不得分拆，且要提供完整的技术资料，中标后不得将本次采购的货物转包或分包给其他供应商。货物为原制造商制造的全新货物，整体无污染，无侵权行为、表面无划损、无任何缺陷隐患，在中标辖区可常规安全合法使用。中标人应负责将所采购的货物送至采购人指定地点，免费送货。</w:t>
            </w:r>
          </w:p>
          <w:p>
            <w:pPr>
              <w:pStyle w:val="null3"/>
              <w:ind w:firstLine="643"/>
              <w:jc w:val="left"/>
            </w:pPr>
            <w:r>
              <w:rPr/>
              <w:t xml:space="preserve"> </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自合同签订后2个日历天将诱捕器及诱芯供货到位</w:t>
      </w:r>
    </w:p>
    <w:p>
      <w:pPr>
        <w:pStyle w:val="null3"/>
        <w:outlineLvl w:val="3"/>
      </w:pPr>
      <w:r>
        <w:rPr>
          <w:b/>
          <w:sz w:val="24"/>
        </w:rPr>
        <w:t>3.4.2交货地点</w:t>
      </w:r>
    </w:p>
    <w:p>
      <w:pPr>
        <w:pStyle w:val="null3"/>
      </w:pPr>
      <w:r>
        <w:rPr/>
        <w:t>采购包1：</w:t>
      </w:r>
    </w:p>
    <w:p>
      <w:pPr>
        <w:pStyle w:val="null3"/>
      </w:pPr>
      <w:r>
        <w:rPr/>
        <w:t>西安市鄠邑区甘亭街办丰京路42号</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乙方产品运输到甲方指定地点验收合格后，开具正式税务发票，甲方转账支付合同价款（具体以合同为准）</w:t>
      </w:r>
      <w:r>
        <w:rPr/>
        <w:t xml:space="preserve"> ，达到付款条件起 </w:t>
      </w:r>
      <w:r>
        <w:rPr/>
        <w:t>50</w:t>
      </w:r>
      <w:r>
        <w:rPr/>
        <w:t xml:space="preserve"> 日内，支付合同总金额的 </w:t>
      </w:r>
      <w:r>
        <w:rPr/>
        <w:t>100.00</w:t>
      </w:r>
      <w:r>
        <w:rPr/>
        <w:t>%。</w:t>
      </w:r>
    </w:p>
    <w:p>
      <w:pPr>
        <w:pStyle w:val="null3"/>
        <w:jc w:val="left"/>
        <w:outlineLvl w:val="3"/>
      </w:pPr>
      <w:r>
        <w:rPr>
          <w:b/>
          <w:sz w:val="24"/>
        </w:rPr>
        <w:t>3.4.5.验收标准和方法</w:t>
      </w:r>
    </w:p>
    <w:p>
      <w:pPr>
        <w:pStyle w:val="null3"/>
      </w:pPr>
      <w:r>
        <w:rPr/>
        <w:t>采购包1：</w:t>
      </w:r>
    </w:p>
    <w:p>
      <w:pPr>
        <w:pStyle w:val="null3"/>
      </w:pPr>
      <w:r>
        <w:rPr/>
        <w:t>（1）抽样验收标准：抽检诱捕器及诱芯数量是否合格；检验产品包装箱上是否具有生产批号和生产日期、产品是否在有效期内；检验外包装箱内是否有产品说明书和合格证；检验产品配件是否完整无瑕疵等。 （2）产品到货后，甲方组织相关部门进行现场验收，随机抽查产品的5%，如果发现不合格产品，乙方无条件全部更换，若所供产品超过5%不合格，甲方有权追究相关责任并要求其承担相应的法律责任。</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全新货物，整体无污染，无侵权行为、表面无划损、无任何缺陷隐患，在中标辖区可常规安全合法使用</w:t>
      </w:r>
    </w:p>
    <w:p>
      <w:pPr>
        <w:pStyle w:val="null3"/>
        <w:outlineLvl w:val="3"/>
      </w:pPr>
      <w:r>
        <w:rPr>
          <w:b/>
          <w:sz w:val="24"/>
        </w:rPr>
        <w:t>3.4.8.违约责任与解决争议的方法</w:t>
      </w:r>
    </w:p>
    <w:p>
      <w:pPr>
        <w:pStyle w:val="null3"/>
      </w:pPr>
      <w:r>
        <w:rPr/>
        <w:t>采购包1：</w:t>
      </w:r>
    </w:p>
    <w:p>
      <w:pPr>
        <w:pStyle w:val="null3"/>
      </w:pPr>
      <w:r>
        <w:rPr/>
        <w:t>甲乙双方协商解决，若双方未协商未果,向甲方住所地人民法院起诉</w:t>
      </w:r>
    </w:p>
    <w:p>
      <w:pPr>
        <w:pStyle w:val="null3"/>
        <w:outlineLvl w:val="2"/>
      </w:pPr>
      <w:r>
        <w:rPr>
          <w:b/>
          <w:sz w:val="28"/>
        </w:rPr>
        <w:t>3.5其他要求</w:t>
      </w:r>
    </w:p>
    <w:p>
      <w:pPr>
        <w:pStyle w:val="null3"/>
      </w:pPr>
      <w:r>
        <w:rPr/>
        <w:t>采购包1：</w:t>
      </w:r>
    </w:p>
    <w:p>
      <w:pPr>
        <w:pStyle w:val="null3"/>
      </w:pPr>
      <w:r>
        <w:rPr/>
        <w:t>（一）服务要求 1、成交后，立即委派一名资深级项目联络员，对货物服务过程中质量和数量、供货环节、后续服务等情况进行总协调，确保货物和服务及时有效保障到位。 2、成交后立即向委托方提供项目服务方案及安排计划，其内容包括联络员姓名、地址、联系方式及货物运输过程中的各类安全措施等状况。 3、产品运输和交货：乙方送货或委托第三方货运公司承运，签订协议书后，乙方立即将美国白蛾诱捕器运送至甲方指定地点。美国白蛾诱芯为生物活性制剂，为特殊商品，为了保证诱芯的活性和质量，甲方付清货款后，乙方按该诱芯保存条件免费代存，乙方负责将诱芯运送至合同指定地点，运输过程中发生的费用由乙方承担，甲乙双方现场核实数量和质量。收货地点：陕西省西安市鄠邑区甘亭街办丰京路42号。 4、售后服务：产品交货时，乙方向甲方提供详细的产品使用说明。 5、收货验收：甲方根据招标文件、投标文件和合同约定标准、技术和服务逐项验收。标准验收，产品到货后，甲方组织相关部门进行现场验收，随机抽查产品的5%，如果发现不合格或损坏的产品，乙方无条件全部更换，若所供产品超过5%不合格，甲方有权追究相关责任并要求其承担相应的法律责任。 6、合同所订一切条款，甲、乙任何一方不得擅自变更或修改。如一方单独变更、修改合同，对方有权拒绝供货或拒绝签收货物，并要求变更、修改合同一方赔偿一切损失。 （二）其他要求 1、质量验收标准或规范 （1）抽样验收标准：抽检诱捕器及诱芯数量是否合格；检验产品包装箱上是否具有生产批号和生产日期、产品是否在有效期内；检验外包装箱内是否有产品说明书和合格证；检验产品配件是否完整无瑕疵等。 （2）产品到货后，甲方组织相关部门进行现场验收，随机抽查产品的5%，如果发现不合格产品，乙方无条件全部更换，若所供产品超过5%不合格，甲方有权追究相关责任并要求其承担相应的法律责任。 2、违约责任 甲乙双方协商解决，若双方未协商未果，由甲方所在地仲裁机构进行仲裁。违约责任：甲乙双方协商解决，若双方未协商未果，由甲方所在地仲裁机构进行仲裁。本合同在执行中如发生争议或纠纷，甲、乙双方应协商解决，协商不成时，按以下第（2）项处理；（1）申请仲裁机构仲裁；（2）向甲方所在地人民法院起诉。</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2响应函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3供应商应提交的相关资格证明材料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法定代表人直接参与采购的，须出具法定代表人证明（附法人身份证复印件）；法定代表人授权代表参与采购的，须出具法人授权委托书（附法人及授权代表身份证复印件）</w:t>
            </w:r>
          </w:p>
        </w:tc>
        <w:tc>
          <w:tcPr>
            <w:tcW w:type="dxa" w:w="3322"/>
          </w:tcPr>
          <w:p>
            <w:pPr>
              <w:pStyle w:val="null3"/>
            </w:pPr>
            <w:r>
              <w:rPr/>
              <w:t>法定代表人直接参与采购的，须出具法定代表人证明（附法人身份证复印件）；法定代表人授权代表参与采购的，须出具法人授权委托书（附法人及授权代表身份证复印件）。供应商需在项目电子化交易系统中按要求上传相应证明文件并进行电子签章。</w:t>
            </w:r>
          </w:p>
        </w:tc>
        <w:tc>
          <w:tcPr>
            <w:tcW w:type="dxa" w:w="1661"/>
          </w:tcPr>
          <w:p>
            <w:pPr>
              <w:pStyle w:val="null3"/>
            </w:pPr>
            <w:r>
              <w:rPr/>
              <w:t>9法定代表人身份证明 9-1法定代表人授权书</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b/>
          <w:sz w:val="24"/>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1响应文件封面 10拟派本项目管理、技术、服务人员情况表 5商务应答表 4产品技术参数表 8项目实施方案 7标的清单</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6报价表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（一）响应文件仍不能实质响应谈判文件可实质性变动的实质性要求的； （二）响应文件中仍有谈判文件规定的其他无效响应情形的。</w:t>
            </w:r>
          </w:p>
        </w:tc>
        <w:tc>
          <w:tcPr>
            <w:tcW w:type="dxa" w:w="1661"/>
          </w:tcPr>
          <w:p>
            <w:pPr>
              <w:pStyle w:val="null3"/>
            </w:pPr>
            <w:r>
              <w:rPr/>
              <w:t>2响应函</w:t>
            </w:r>
          </w:p>
        </w:tc>
      </w:tr>
    </w:tbl>
    <w:p>
      <w:pPr>
        <w:pStyle w:val="null3"/>
        <w:outlineLvl w:val="3"/>
      </w:pPr>
      <w:r>
        <w:rPr>
          <w:b/>
          <w:sz w:val="24"/>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b/>
          <w:sz w:val="24"/>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详见附件：1响应文件封面</w:t>
      </w:r>
    </w:p>
    <w:p>
      <w:pPr>
        <w:pStyle w:val="null3"/>
        <w:ind w:firstLine="960"/>
      </w:pPr>
      <w:r>
        <w:rPr/>
        <w:t>详见附件：2响应函</w:t>
      </w:r>
    </w:p>
    <w:p>
      <w:pPr>
        <w:pStyle w:val="null3"/>
        <w:ind w:firstLine="960"/>
      </w:pPr>
      <w:r>
        <w:rPr/>
        <w:t>详见附件：3供应商应提交的相关资格证明材料</w:t>
      </w:r>
    </w:p>
    <w:p>
      <w:pPr>
        <w:pStyle w:val="null3"/>
        <w:ind w:firstLine="960"/>
      </w:pPr>
      <w:r>
        <w:rPr/>
        <w:t>详见附件：4产品技术参数表</w:t>
      </w:r>
    </w:p>
    <w:p>
      <w:pPr>
        <w:pStyle w:val="null3"/>
        <w:ind w:firstLine="960"/>
      </w:pPr>
      <w:r>
        <w:rPr/>
        <w:t>详见附件：5商务应答表</w:t>
      </w:r>
    </w:p>
    <w:p>
      <w:pPr>
        <w:pStyle w:val="null3"/>
        <w:ind w:firstLine="960"/>
      </w:pPr>
      <w:r>
        <w:rPr/>
        <w:t>详见附件：6报价表</w:t>
      </w:r>
    </w:p>
    <w:p>
      <w:pPr>
        <w:pStyle w:val="null3"/>
        <w:ind w:firstLine="960"/>
      </w:pPr>
      <w:r>
        <w:rPr/>
        <w:t>详见附件：7标的清单</w:t>
      </w:r>
    </w:p>
    <w:p>
      <w:pPr>
        <w:pStyle w:val="null3"/>
        <w:ind w:firstLine="960"/>
      </w:pPr>
      <w:r>
        <w:rPr/>
        <w:t>详见附件：8项目实施方案</w:t>
      </w:r>
    </w:p>
    <w:p>
      <w:pPr>
        <w:pStyle w:val="null3"/>
        <w:ind w:firstLine="960"/>
      </w:pPr>
      <w:r>
        <w:rPr/>
        <w:t>详见附件：9法定代表人身份证明</w:t>
      </w:r>
    </w:p>
    <w:p>
      <w:pPr>
        <w:pStyle w:val="null3"/>
        <w:ind w:firstLine="960"/>
      </w:pPr>
      <w:r>
        <w:rPr/>
        <w:t>详见附件：9-1法定代表人授权书</w:t>
      </w:r>
    </w:p>
    <w:p>
      <w:pPr>
        <w:pStyle w:val="null3"/>
        <w:ind w:firstLine="960"/>
      </w:pPr>
      <w:r>
        <w:rPr/>
        <w:t>详见附件：10拟派本项目管理、技术、服务人员情况表</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详见附件：合同主要条款及格式.docx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