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西安市鄠邑区2024年松材线虫病防控—打孔注药服务项目</w:t>
      </w:r>
    </w:p>
    <w:p>
      <w:pPr>
        <w:pStyle w:val="null3"/>
        <w:jc w:val="center"/>
        <w:outlineLvl w:val="2"/>
      </w:pPr>
      <w:r>
        <w:rPr>
          <w:b/>
          <w:sz w:val="28"/>
        </w:rPr>
        <w:t>采购项目编号：</w:t>
      </w:r>
      <w:r>
        <w:rPr>
          <w:b/>
          <w:sz w:val="28"/>
        </w:rPr>
        <w:t>YD2024-008</w:t>
      </w:r>
      <w:r>
        <w:br/>
      </w:r>
      <w:r>
        <w:br/>
      </w:r>
      <w:r>
        <w:br/>
      </w:r>
    </w:p>
    <w:p>
      <w:pPr>
        <w:pStyle w:val="null3"/>
        <w:jc w:val="center"/>
        <w:outlineLvl w:val="2"/>
      </w:pPr>
      <w:r>
        <w:rPr>
          <w:b/>
          <w:sz w:val="28"/>
        </w:rPr>
        <w:t>西安市鄠邑区森林资源管理中心</w:t>
      </w:r>
    </w:p>
    <w:p>
      <w:pPr>
        <w:pStyle w:val="null3"/>
        <w:jc w:val="center"/>
        <w:outlineLvl w:val="2"/>
      </w:pPr>
      <w:r>
        <w:rPr>
          <w:b/>
          <w:sz w:val="28"/>
        </w:rPr>
        <w:t>陕西云鼎项目管理有限责任公司</w:t>
      </w:r>
      <w:r>
        <w:rPr>
          <w:b/>
          <w:sz w:val="28"/>
        </w:rPr>
        <w:t>共同编制</w:t>
      </w:r>
    </w:p>
    <w:p>
      <w:pPr>
        <w:pStyle w:val="null3"/>
        <w:jc w:val="center"/>
        <w:outlineLvl w:val="2"/>
      </w:pPr>
      <w:r>
        <w:rPr>
          <w:b/>
          <w:sz w:val="28"/>
        </w:rPr>
        <w:t>2024年03月27日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陕西云鼎项目管理有限责任公司</w:t>
      </w:r>
      <w:r>
        <w:rPr/>
        <w:t>（以下简称“代理机构”）受</w:t>
      </w:r>
      <w:r>
        <w:rPr/>
        <w:t>西安市鄠邑区森林资源管理中心</w:t>
      </w:r>
      <w:r>
        <w:rPr/>
        <w:t>委托，拟对</w:t>
      </w:r>
      <w:r>
        <w:rPr/>
        <w:t>西安市鄠邑区2024年松材线虫病防控—打孔注药服务项目</w:t>
      </w:r>
      <w:r>
        <w:rPr/>
        <w:t>采用竞争性磋商采购方式进行采购，兹邀请供应商参加本项目的竞争性磋商。</w:t>
      </w:r>
    </w:p>
    <w:p>
      <w:pPr>
        <w:pStyle w:val="null3"/>
        <w:outlineLvl w:val="2"/>
      </w:pPr>
      <w:r>
        <w:rPr>
          <w:b/>
          <w:sz w:val="28"/>
        </w:rPr>
        <w:t>一、项目编号：</w:t>
      </w:r>
      <w:r>
        <w:rPr>
          <w:b/>
          <w:sz w:val="28"/>
        </w:rPr>
        <w:t>YD2024-008</w:t>
      </w:r>
    </w:p>
    <w:p>
      <w:pPr>
        <w:pStyle w:val="null3"/>
        <w:outlineLvl w:val="2"/>
      </w:pPr>
      <w:r>
        <w:rPr>
          <w:b/>
          <w:sz w:val="28"/>
        </w:rPr>
        <w:t>二、项目名称：</w:t>
      </w:r>
      <w:r>
        <w:rPr>
          <w:b/>
          <w:sz w:val="28"/>
        </w:rPr>
        <w:t>西安市鄠邑区2024年松材线虫病防控—打孔注药服务项目</w:t>
      </w:r>
    </w:p>
    <w:p>
      <w:pPr>
        <w:pStyle w:val="null3"/>
        <w:outlineLvl w:val="2"/>
      </w:pPr>
      <w:r>
        <w:rPr>
          <w:b/>
          <w:sz w:val="28"/>
        </w:rPr>
        <w:t>三、磋商项目简介</w:t>
      </w:r>
    </w:p>
    <w:p>
      <w:pPr>
        <w:pStyle w:val="null3"/>
        <w:ind w:firstLine="480"/>
      </w:pPr>
      <w:r>
        <w:rPr/>
        <w:t>松褐天牛是危害松树的主要蛀干害虫，在松林分布区常有发生，其成虫啃食嫩枝皮，造成寄主衰弱；幼虫钻蛀树干，致松树枯死。为有效防控松褐天牛，保护秦岭松林资源和生态成果，于2024年3月至4月，在松材线虫病防控—太平旅游风景区和太煤路两侧实施健康松树预防性保护工程，开展树干注药防治9500株15250瓶，防治面积320亩，降低虫口密度，减少传播媒介，有效防控松材线虫病蔓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采购包1（西安市鄠邑区2024年松材线虫病防控—打孔注药服务项目）：属于专门面向中小企业采购。</w:t>
      </w:r>
    </w:p>
    <w:p>
      <w:pPr>
        <w:pStyle w:val="null3"/>
        <w:ind w:firstLine="480"/>
      </w:pPr>
      <w:r>
        <w:rPr/>
        <w:t>（三）本项目的特定资格要求：</w:t>
      </w:r>
    </w:p>
    <w:p>
      <w:pPr>
        <w:pStyle w:val="null3"/>
      </w:pPr>
      <w:r>
        <w:rPr/>
        <w:t>采购包1：</w:t>
      </w:r>
    </w:p>
    <w:p>
      <w:pPr>
        <w:pStyle w:val="null3"/>
      </w:pPr>
      <w:r>
        <w:rPr/>
        <w:t>1、法定代表人直接参与磋商的，须出 具法定代表人证明（附法人身份证 复印件）；法定代表人授权代表参 与磋商的，须出具法人授权委托书 （附法人及授权代表身份证复印件) ：法定代表人直接参与磋商的，须出具法定代表 人证明（附法人身份证复印件）；法定代表人 授权代表参与磋商的，须出具法人授权委托书 （附法人及授权代表身份证复印件）。供应商 需在项目电子化交易系统中按要求上传相应证明文件并进行电子签章。</w:t>
      </w:r>
    </w:p>
    <w:p>
      <w:pPr>
        <w:pStyle w:val="null3"/>
      </w:pPr>
      <w:r>
        <w:rPr/>
        <w:t>2、供应商具有林业有害生物防治作业资质证书：供应商具有林业有害生物防治作业资质证书。供应商需在项目电子化交易系统中按要求上传相应证明文件并进行电子签章。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西安市鄠邑区森林资源管理中心</w:t>
      </w:r>
    </w:p>
    <w:p>
      <w:pPr>
        <w:pStyle w:val="null3"/>
      </w:pPr>
      <w:r>
        <w:rPr/>
        <w:t xml:space="preserve"> 地址： </w:t>
      </w:r>
      <w:r>
        <w:rPr/>
        <w:t>丰京路42号林业局4楼</w:t>
      </w:r>
    </w:p>
    <w:p>
      <w:pPr>
        <w:pStyle w:val="null3"/>
      </w:pPr>
      <w:r>
        <w:rPr/>
        <w:t xml:space="preserve"> 邮编： </w:t>
      </w:r>
      <w:r>
        <w:rPr/>
        <w:t>710300</w:t>
      </w:r>
    </w:p>
    <w:p>
      <w:pPr>
        <w:pStyle w:val="null3"/>
      </w:pPr>
      <w:r>
        <w:rPr/>
        <w:t xml:space="preserve"> 联系人： </w:t>
      </w:r>
      <w:r>
        <w:rPr/>
        <w:t>西安市鄠邑区森林资源管理中心经办</w:t>
      </w:r>
    </w:p>
    <w:p>
      <w:pPr>
        <w:pStyle w:val="null3"/>
      </w:pPr>
      <w:r>
        <w:rPr/>
        <w:t xml:space="preserve"> 联系电话： </w:t>
      </w:r>
      <w:r>
        <w:rPr/>
        <w:t>17791991889</w:t>
      </w:r>
    </w:p>
    <w:p>
      <w:pPr>
        <w:pStyle w:val="null3"/>
        <w:outlineLvl w:val="3"/>
      </w:pPr>
      <w:r>
        <w:rPr>
          <w:b/>
          <w:sz w:val="24"/>
        </w:rPr>
        <w:t>代理机构：</w:t>
      </w:r>
      <w:r>
        <w:rPr>
          <w:b/>
          <w:sz w:val="24"/>
        </w:rPr>
        <w:t>陕西云鼎项目管理有限责任公司</w:t>
      </w:r>
    </w:p>
    <w:p>
      <w:pPr>
        <w:pStyle w:val="null3"/>
      </w:pPr>
      <w:r>
        <w:rPr/>
        <w:t xml:space="preserve"> 地址： </w:t>
      </w:r>
      <w:r>
        <w:rPr/>
        <w:t>陕西省西安市碑林区南二环西段21号华融国际商务大厦A座18层C室</w:t>
      </w:r>
    </w:p>
    <w:p>
      <w:pPr>
        <w:pStyle w:val="null3"/>
      </w:pPr>
      <w:r>
        <w:rPr/>
        <w:t xml:space="preserve"> 邮编： </w:t>
      </w:r>
      <w:r>
        <w:rPr/>
        <w:t>710000</w:t>
      </w:r>
    </w:p>
    <w:p>
      <w:pPr>
        <w:pStyle w:val="null3"/>
      </w:pPr>
      <w:r>
        <w:rPr/>
        <w:t xml:space="preserve"> 联系人： </w:t>
      </w:r>
      <w:r>
        <w:rPr/>
        <w:t>古德隆</w:t>
      </w:r>
    </w:p>
    <w:p>
      <w:pPr>
        <w:pStyle w:val="null3"/>
      </w:pPr>
      <w:r>
        <w:rPr/>
        <w:t xml:space="preserve"> 联系电话： </w:t>
      </w:r>
      <w:r>
        <w:rPr/>
        <w:t>13759999744</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代理服务费收费标准：采购代理服务费参照国家计委关于印发《招标代理服务收费管理暂行办 法》的通知（计价格〔2002〕1980号）、《国家发展和改革委员会办公厅关于招标代理服务收费有关问题的通知》（发改办价格〔2003〕857号）标准收取。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西安市鄠邑区森林资源管理中心</w:t>
      </w:r>
      <w:r>
        <w:rPr/>
        <w:t>和</w:t>
      </w:r>
      <w:r>
        <w:rPr/>
        <w:t>陕西云鼎项目管理有限责任公司</w:t>
      </w:r>
      <w:r>
        <w:rPr/>
        <w:t>享有。对磋商文件中供应商参加本次政府采购活动应当具备的条件，磋商项目技术、服务、商务及其他要求，评审细则及标准由</w:t>
      </w:r>
      <w:r>
        <w:rPr/>
        <w:t>西安市鄠邑区森林资源管理中心</w:t>
      </w:r>
      <w:r>
        <w:rPr/>
        <w:t>负责解释。除上述磋商文件内容，其他内容由</w:t>
      </w:r>
      <w:r>
        <w:rPr/>
        <w:t>陕西云鼎项目管理有限责任公司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西安市鄠邑区森林资源管理中心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陕西云鼎项目管理有限责任公司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作业规范、按技术规程要求或现场登记详细、不存在未防、漏防、防治效果未达到作业要求的地块</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陕西云鼎项目管理有限责任公司</w:t>
      </w:r>
      <w:r>
        <w:rPr/>
        <w:t xml:space="preserve"> 负责答复；供应商对除采购需求外的采购文件的询问、质疑由</w:t>
      </w:r>
      <w:r>
        <w:rPr/>
        <w:t>陕西云鼎项目管理有限责任公司</w:t>
      </w:r>
      <w:r>
        <w:rPr/>
        <w:t xml:space="preserve"> 负责答复；供应商对采购过程、采购结果的询问、质疑由 </w:t>
      </w:r>
      <w:r>
        <w:rPr/>
        <w:t>陕西云鼎项目管理有限责任公司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联系人：古德隆</w:t>
      </w:r>
    </w:p>
    <w:p>
      <w:pPr>
        <w:pStyle w:val="null3"/>
      </w:pPr>
      <w:r>
        <w:rPr/>
        <w:t>联系电话：13759999744</w:t>
      </w:r>
    </w:p>
    <w:p>
      <w:pPr>
        <w:pStyle w:val="null3"/>
      </w:pPr>
      <w:r>
        <w:rPr/>
        <w:t>地址：西安市碑林区南二环西段21号华融国际商务大厦A座18层C室陕西云鼎项目管理有限责任公司办公室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rFonts w:ascii="宋体" w:hAnsi="宋体" w:cs="宋体" w:eastAsia="宋体"/>
        </w:rPr>
        <w:t>松褐天牛是危害松树的主要蛀干害虫，在松林分布区常有发生，其成虫啃食嫩枝皮，造成寄主衰弱；幼虫钻蛀树干，致松树枯死。为有效防控松褐天牛，保护秦岭松林资源和生态成果，于2024年3月至4月，在松材线虫病防控—太平旅游风景区和太煤路两侧实施健康松树预防性保护工程，开展树干注药防治9500株15250瓶，防治面积320亩，降低虫口密度，减少传播媒介，有效防控松材线虫病蔓延。采购预算305,000.00元。</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305,000.00</w:t>
      </w:r>
    </w:p>
    <w:p>
      <w:pPr>
        <w:pStyle w:val="null3"/>
      </w:pPr>
      <w:r>
        <w:rPr/>
        <w:t>采购包最高限价（元）: 305,000.00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预防松材线虫病</w:t>
            </w:r>
          </w:p>
        </w:tc>
        <w:tc>
          <w:tcPr>
            <w:tcW w:type="dxa" w:w="831"/>
          </w:tcPr>
          <w:p>
            <w:pPr>
              <w:pStyle w:val="null3"/>
              <w:jc w:val="right"/>
            </w:pPr>
            <w:r>
              <w:rPr/>
              <w:t>1.00</w:t>
            </w:r>
          </w:p>
        </w:tc>
        <w:tc>
          <w:tcPr>
            <w:tcW w:type="dxa" w:w="831"/>
          </w:tcPr>
          <w:p>
            <w:pPr>
              <w:pStyle w:val="null3"/>
              <w:jc w:val="right"/>
            </w:pPr>
            <w:r>
              <w:rPr/>
              <w:t>305,000.00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标的名称：预防松材线虫病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left"/>
            </w:pPr>
            <w:r>
              <w:rPr>
                <w:rFonts w:ascii="宋体" w:hAnsi="宋体" w:cs="宋体" w:eastAsia="宋体"/>
                <w:b/>
                <w:sz w:val="28"/>
              </w:rPr>
              <w:t>一、</w:t>
            </w:r>
            <w:r>
              <w:rPr>
                <w:rFonts w:ascii="宋体" w:hAnsi="宋体" w:cs="宋体" w:eastAsia="宋体"/>
                <w:b/>
                <w:sz w:val="28"/>
              </w:rPr>
              <w:t>项目概况</w:t>
            </w:r>
          </w:p>
          <w:p>
            <w:pPr>
              <w:pStyle w:val="null3"/>
              <w:ind w:firstLine="480"/>
              <w:jc w:val="left"/>
            </w:pPr>
            <w:r>
              <w:rPr>
                <w:rFonts w:ascii="宋体" w:hAnsi="宋体" w:cs="宋体" w:eastAsia="宋体"/>
                <w:sz w:val="24"/>
              </w:rPr>
              <w:t>松褐天牛是危害松树的主要蛀干害虫，在松林分布区常有发生，其成虫啃食嫩枝皮，造成寄主衰弱；幼虫钻蛀树干，致松树枯死。为有效防控松褐天牛，保护秦岭松林资源和生态成果，于</w:t>
            </w:r>
            <w:r>
              <w:rPr>
                <w:rFonts w:ascii="宋体" w:hAnsi="宋体" w:cs="宋体" w:eastAsia="宋体"/>
                <w:sz w:val="24"/>
              </w:rPr>
              <w:t>2024年3月至4月，在松材线虫病防控—太平旅游风景区和太煤路两侧实施健康松树预防性保护工程，开展树干注药防治9500株15250瓶，防治面积320亩，降低虫口密度，减少传播媒介，有效防控松材线虫病蔓延。采购预算30.5万元。</w:t>
            </w:r>
          </w:p>
          <w:p>
            <w:pPr>
              <w:pStyle w:val="null3"/>
              <w:ind w:firstLine="480"/>
              <w:jc w:val="left"/>
            </w:pPr>
            <w:r>
              <w:rPr>
                <w:rFonts w:ascii="calibri" w:hAnsi="calibri" w:cs="calibri" w:eastAsia="calibri"/>
                <w:b/>
                <w:sz w:val="24"/>
              </w:rPr>
              <w:t xml:space="preserve">  </w:t>
            </w:r>
            <w:r>
              <w:rPr>
                <w:rFonts w:ascii="calibri" w:hAnsi="calibri" w:cs="calibri" w:eastAsia="calibri"/>
                <w:b/>
                <w:sz w:val="27"/>
              </w:rPr>
              <w:t>二、服务内容</w:t>
            </w:r>
          </w:p>
          <w:p>
            <w:pPr>
              <w:pStyle w:val="null3"/>
              <w:ind w:firstLine="480"/>
              <w:jc w:val="left"/>
            </w:pPr>
            <w:r>
              <w:rPr>
                <w:rFonts w:ascii="宋体" w:hAnsi="宋体" w:cs="宋体" w:eastAsia="宋体"/>
                <w:sz w:val="24"/>
              </w:rPr>
              <w:t>施工位于西安市鄠邑区辖区内松材线虫病太平峪风险区，具体如下：于</w:t>
            </w:r>
            <w:r>
              <w:rPr>
                <w:rFonts w:ascii="宋体" w:hAnsi="宋体" w:cs="宋体" w:eastAsia="宋体"/>
                <w:sz w:val="24"/>
              </w:rPr>
              <w:t>2024年3月至4月，在松材线虫病防控—太平旅游风景区和太煤路两侧实施健康松树预防性保护工程，开展树干注药防治9500株15250瓶，防治面积320亩，降低虫口密度，减少传播媒介，有效防控松材线虫蔓延。</w:t>
            </w:r>
          </w:p>
          <w:p>
            <w:pPr>
              <w:pStyle w:val="null3"/>
              <w:jc w:val="left"/>
            </w:pPr>
            <w:r>
              <w:rPr>
                <w:rFonts w:ascii="宋体" w:hAnsi="宋体" w:cs="宋体" w:eastAsia="宋体"/>
                <w:b/>
                <w:sz w:val="28"/>
              </w:rPr>
              <w:t>三、技术要求</w:t>
            </w:r>
          </w:p>
          <w:p>
            <w:pPr>
              <w:pStyle w:val="null3"/>
              <w:ind w:firstLine="480"/>
              <w:jc w:val="left"/>
            </w:pPr>
            <w:r>
              <w:rPr>
                <w:rFonts w:ascii="宋体" w:hAnsi="宋体" w:cs="宋体" w:eastAsia="宋体"/>
                <w:sz w:val="24"/>
              </w:rPr>
              <w:t xml:space="preserve"> </w:t>
            </w:r>
            <w:r>
              <w:rPr>
                <w:rFonts w:ascii="宋体" w:hAnsi="宋体" w:cs="宋体" w:eastAsia="宋体"/>
                <w:sz w:val="24"/>
              </w:rPr>
              <w:t>1、采购预防农药。松材线虫病树干注药剂（3%甲氨基阿维菌素苯甲酸盐微孔剂），剂量规格为50毫升/支，防治用药采购量15250瓶以上。防治用药需具有农药三证，经双方验收合格后，方能使用。</w:t>
            </w:r>
          </w:p>
          <w:p>
            <w:pPr>
              <w:pStyle w:val="null3"/>
              <w:ind w:firstLine="480"/>
              <w:jc w:val="left"/>
            </w:pPr>
            <w:r>
              <w:rPr>
                <w:rFonts w:ascii="宋体" w:hAnsi="宋体" w:cs="宋体" w:eastAsia="宋体"/>
                <w:sz w:val="24"/>
              </w:rPr>
              <w:t>2、松树树干钻孔：及时组建技术服务队负责注药工作，同时提供注药设备附属材料；施工作业注药部位在松树根基距地面50厘米以内高度，深度以达到木质部为准，需要钻2个以上注孔的，钻孔位置应均匀分布于树干周围，相互间隔，且不在一个水平面上。钻孔时选择表面光滑、无死节、无受伤部位进行钻孔。</w:t>
            </w:r>
          </w:p>
          <w:p>
            <w:pPr>
              <w:pStyle w:val="null3"/>
              <w:ind w:firstLine="480"/>
              <w:jc w:val="left"/>
            </w:pPr>
            <w:r>
              <w:rPr>
                <w:rFonts w:ascii="宋体" w:hAnsi="宋体" w:cs="宋体" w:eastAsia="宋体"/>
                <w:sz w:val="24"/>
              </w:rPr>
              <w:t>3、松树树干施药：农药使用量，注药剂量根据松树胸径大小、害虫致死量和农药毒力来确定。</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胸径（</w:t>
                  </w:r>
                  <w:r>
                    <w:rPr>
                      <w:rFonts w:ascii="宋体" w:hAnsi="宋体" w:cs="宋体" w:eastAsia="宋体"/>
                      <w:sz w:val="24"/>
                    </w:rPr>
                    <w:t>cm）</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≦20(cm)</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20～35(cm)</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≧35(cm)</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用药量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1瓶/株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2瓶/株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3瓶/株以上</w:t>
                  </w:r>
                </w:p>
              </w:tc>
            </w:tr>
          </w:tbl>
          <w:p>
            <w:pPr>
              <w:pStyle w:val="null3"/>
              <w:ind w:firstLine="480"/>
              <w:jc w:val="left"/>
            </w:pPr>
            <w:r>
              <w:rPr>
                <w:rFonts w:ascii="宋体" w:hAnsi="宋体" w:cs="宋体" w:eastAsia="宋体"/>
                <w:sz w:val="24"/>
              </w:rPr>
              <w:t>施工作业技术要求。组织技术力量，在待施药松树上，用钻孔器斜向下与垂直方向成</w:t>
            </w:r>
            <w:r>
              <w:rPr>
                <w:rFonts w:ascii="宋体" w:hAnsi="宋体" w:cs="宋体" w:eastAsia="宋体"/>
                <w:sz w:val="24"/>
              </w:rPr>
              <w:t>45°，钻直径5～7 mm，深50～100mm的孔眼，撕开瓶口塑料膜，装上输液嘴，用工具将输液嘴顶部剪开并插入已打好的孔眼，将已安装在树干上的注射剂用工具开一个孔眼，保证瓶内液体能缓慢流出。勿使药液从注药孔外渗入。由于防治作业区位于疫情发生区和旅游风景区，防治施工作业完成后，待药物被松树完全吸收后，废瓶收集并堵孔，以防意外事故发生。</w:t>
            </w:r>
          </w:p>
          <w:p>
            <w:pPr>
              <w:pStyle w:val="null3"/>
              <w:ind w:firstLine="480"/>
              <w:jc w:val="left"/>
            </w:pPr>
            <w:r>
              <w:rPr>
                <w:rFonts w:ascii="宋体" w:hAnsi="宋体" w:cs="宋体" w:eastAsia="宋体"/>
                <w:sz w:val="24"/>
              </w:rPr>
              <w:t>4、补充注药：在药瓶回收的同时，检查是否遗漏注药，药液结晶、外流，瓶嘴被堵、尾气孔没有正常打开等情况。如果存在上述情况，且未超出施工时间，应当及时补充注药，并进行相应记录。</w:t>
            </w:r>
          </w:p>
          <w:p>
            <w:pPr>
              <w:pStyle w:val="null3"/>
              <w:ind w:firstLine="480"/>
              <w:jc w:val="left"/>
            </w:pPr>
            <w:r>
              <w:rPr>
                <w:rFonts w:ascii="宋体" w:hAnsi="宋体" w:cs="宋体" w:eastAsia="宋体"/>
                <w:sz w:val="24"/>
              </w:rPr>
              <w:t>5、打孔注药防治全过程实施记录。施工作业方落实专人收集整个打孔注药防治过程中的影像资料和防治作业数据，做好验收档案的收集、整理等相关工作。</w:t>
            </w:r>
          </w:p>
          <w:p>
            <w:pPr>
              <w:pStyle w:val="null3"/>
              <w:ind w:firstLine="480"/>
              <w:jc w:val="left"/>
            </w:pPr>
            <w:r>
              <w:rPr>
                <w:rFonts w:ascii="宋体" w:hAnsi="宋体" w:cs="宋体" w:eastAsia="宋体"/>
                <w:sz w:val="24"/>
              </w:rPr>
              <w:t>6、信息登记和安全标识设置：对打孔注药的每株松树进行标记和信息登记，统一进行编号，设置安全警示标志，警示标志所用标签应为不易腐烂的材料，标记信息清晰。打孔注药所有地块要覆盖所有松树，全面打孔不漏林班、不漏小班、不漏树，做到无死角。</w:t>
            </w:r>
          </w:p>
          <w:p>
            <w:pPr>
              <w:pStyle w:val="null3"/>
              <w:ind w:firstLine="480"/>
              <w:jc w:val="left"/>
            </w:pPr>
            <w:r>
              <w:rPr>
                <w:rFonts w:ascii="宋体" w:hAnsi="宋体" w:cs="宋体" w:eastAsia="宋体"/>
                <w:sz w:val="24"/>
              </w:rPr>
              <w:t>7、质量监管。施工单位必须接受委托方跟班作业技术人员的技术指导，及时汇总上报信息，对跟班技术员发现问题，无条件按照技术规程和要求，落实措施进行整改，确保防治质量。</w:t>
            </w:r>
          </w:p>
          <w:p>
            <w:pPr>
              <w:pStyle w:val="null3"/>
              <w:ind w:firstLine="480"/>
              <w:jc w:val="left"/>
            </w:pPr>
            <w:r>
              <w:rPr>
                <w:rFonts w:ascii="宋体" w:hAnsi="宋体" w:cs="宋体" w:eastAsia="宋体"/>
                <w:sz w:val="24"/>
              </w:rPr>
              <w:t xml:space="preserve">8、检查验收：结合药瓶回收工作开展检查验收。检查率不得低于5%，抽样检查中未正常施药株数超过10%的，应当认定为不合格。     </w:t>
            </w:r>
          </w:p>
          <w:p>
            <w:pPr>
              <w:pStyle w:val="null3"/>
              <w:ind w:firstLine="480"/>
              <w:jc w:val="left"/>
            </w:pPr>
            <w:r>
              <w:rPr>
                <w:rFonts w:ascii="宋体" w:hAnsi="宋体" w:cs="宋体" w:eastAsia="宋体"/>
                <w:sz w:val="24"/>
              </w:rPr>
              <w:t>9、防效成果评价。由区森防站开展效果评价，打孔注药施工项目完成后，现场检查松树死亡情况，并记录评价结果。</w:t>
            </w:r>
          </w:p>
          <w:p>
            <w:pPr>
              <w:pStyle w:val="null3"/>
              <w:ind w:firstLine="480"/>
              <w:jc w:val="left"/>
            </w:pPr>
            <w:r>
              <w:rPr>
                <w:rFonts w:ascii="宋体" w:hAnsi="宋体" w:cs="宋体" w:eastAsia="宋体"/>
                <w:sz w:val="24"/>
              </w:rPr>
              <w:t>防治效果计算方法：分别计算打孔注药后因松材线虫病或其它病虫害引起的松树死亡率，在去除明显因其它原因死亡的松树株数后，松树死亡率计算公式如下：</w:t>
            </w:r>
          </w:p>
          <w:p>
            <w:pPr>
              <w:pStyle w:val="null3"/>
              <w:ind w:firstLine="480"/>
              <w:jc w:val="left"/>
            </w:pPr>
            <w:r>
              <w:rPr>
                <w:rFonts w:ascii="宋体" w:hAnsi="宋体" w:cs="宋体" w:eastAsia="宋体"/>
                <w:sz w:val="24"/>
              </w:rPr>
              <w:t>松树死亡率</w:t>
            </w:r>
            <w:r>
              <w:rPr>
                <w:rFonts w:ascii="宋体" w:hAnsi="宋体" w:cs="宋体" w:eastAsia="宋体"/>
                <w:sz w:val="24"/>
              </w:rPr>
              <w:t>%=死亡松树总株数/注药松树总株数</w:t>
            </w:r>
            <w:r>
              <w:rPr>
                <w:rFonts w:ascii="宋体" w:hAnsi="宋体" w:cs="宋体" w:eastAsia="宋体"/>
                <w:sz w:val="24"/>
              </w:rPr>
              <w:t>×</w:t>
            </w:r>
            <w:r>
              <w:rPr>
                <w:rFonts w:ascii="宋体" w:hAnsi="宋体" w:cs="宋体" w:eastAsia="宋体"/>
                <w:sz w:val="24"/>
              </w:rPr>
              <w:t>100%</w:t>
            </w:r>
          </w:p>
          <w:p>
            <w:pPr>
              <w:pStyle w:val="null3"/>
              <w:ind w:firstLine="480"/>
              <w:jc w:val="left"/>
            </w:pPr>
            <w:r>
              <w:rPr>
                <w:rFonts w:ascii="宋体" w:hAnsi="宋体" w:cs="宋体" w:eastAsia="宋体"/>
                <w:sz w:val="24"/>
              </w:rPr>
              <w:t>防治效果评价标准：根据松材线虫病或其它病虫害引起的松树死亡率评价防治效果，松树死亡率</w:t>
            </w:r>
            <w:r>
              <w:rPr>
                <w:rFonts w:ascii="宋体" w:hAnsi="宋体" w:cs="宋体" w:eastAsia="宋体"/>
                <w:sz w:val="24"/>
              </w:rPr>
              <w:t>≦1%为合格，松树死亡率&gt;1%的为不合格。</w:t>
            </w:r>
          </w:p>
          <w:p>
            <w:pPr>
              <w:pStyle w:val="null3"/>
              <w:ind w:firstLine="480"/>
              <w:jc w:val="left"/>
            </w:pPr>
            <w:r>
              <w:rPr>
                <w:rFonts w:ascii="宋体" w:hAnsi="宋体" w:cs="宋体" w:eastAsia="宋体"/>
                <w:sz w:val="24"/>
              </w:rPr>
              <w:t>10、安全管理。施工单位在林区实施作业期间，所有安全责任由施工方自行承担；加强施工员管理，提高安全意识，做好安全防范工作；加强火源管理，杜绝一切野外非法用火，严防火灾，确保施工员操作过程的一切人身安全。由于施工所用农药有毒，操作时要带塑料手套、口罩等保护措施，严防人员中毒。</w:t>
            </w:r>
          </w:p>
          <w:p>
            <w:pPr>
              <w:pStyle w:val="null3"/>
              <w:ind w:firstLine="480"/>
              <w:jc w:val="left"/>
            </w:pPr>
            <w:r>
              <w:rPr>
                <w:rFonts w:ascii="宋体" w:hAnsi="宋体" w:cs="宋体" w:eastAsia="宋体"/>
                <w:sz w:val="24"/>
              </w:rPr>
              <w:t>11、档案管理。做好档案接管工作，合同约定的内容和条款全面完成后，按照档案管理的标准要求，由区森防站配备专人负责档案资料的接收、整理、保管和提供利用。档案保存形式以纸质档案和电子档案为主，纸质档案包括上述打孔注药过程性资料内容，字迹清楚；电子档案要求所有的打孔注药过程性资料应有上述全部档案内容的电子文档（与纸质版一致），电子档案U盘备一份。</w:t>
            </w:r>
          </w:p>
          <w:p>
            <w:pPr>
              <w:pStyle w:val="null3"/>
              <w:ind w:firstLine="562"/>
              <w:jc w:val="left"/>
            </w:pPr>
            <w:r>
              <w:rPr>
                <w:rFonts w:ascii="宋体" w:hAnsi="宋体" w:cs="宋体" w:eastAsia="宋体"/>
                <w:b/>
                <w:sz w:val="28"/>
              </w:rPr>
              <w:t>四、服务要求</w:t>
            </w:r>
          </w:p>
          <w:p>
            <w:pPr>
              <w:pStyle w:val="null3"/>
              <w:ind w:firstLine="480"/>
              <w:jc w:val="left"/>
            </w:pPr>
            <w:r>
              <w:rPr>
                <w:rFonts w:ascii="宋体" w:hAnsi="宋体" w:cs="宋体" w:eastAsia="宋体"/>
                <w:sz w:val="24"/>
              </w:rPr>
              <w:t>1、施药时间：合同签订后至4月15日前完成施工作业。</w:t>
            </w:r>
          </w:p>
          <w:p>
            <w:pPr>
              <w:pStyle w:val="null3"/>
              <w:ind w:firstLine="480"/>
              <w:jc w:val="left"/>
            </w:pPr>
            <w:r>
              <w:rPr>
                <w:rFonts w:ascii="宋体" w:hAnsi="宋体" w:cs="宋体" w:eastAsia="宋体"/>
                <w:sz w:val="24"/>
              </w:rPr>
              <w:t>2、成交供应商于征信系统中无不良记录，具备每日打孔注药防治能力2000株/日以上，禁止使用农药“三证”不齐，冒用其他农药产品“三证”或冒用其他农药厂家“三证”的注射剂，所提供的农品有效期应当在1年以上，且为正规厂家生产（三证齐全）。</w:t>
            </w:r>
          </w:p>
          <w:p>
            <w:pPr>
              <w:pStyle w:val="null3"/>
              <w:ind w:firstLine="480"/>
              <w:jc w:val="left"/>
            </w:pPr>
            <w:r>
              <w:rPr>
                <w:rFonts w:ascii="宋体" w:hAnsi="宋体" w:cs="宋体" w:eastAsia="宋体"/>
                <w:sz w:val="24"/>
              </w:rPr>
              <w:t>3、成交后，立即派驻委托方一名资深级项目经理（不接受兼职），一名技术总监（高级工程师，且不接受兼职）对施工作业过程中工程进度、工程质量、工程人员管理进行总协调，确保技术措施的落实，应标单位须持有效的资质证书（不得借用），按时参加委托方组织的各类会议和活动，服从委托方的工作制度和工作规范。</w:t>
            </w:r>
          </w:p>
          <w:p>
            <w:pPr>
              <w:pStyle w:val="null3"/>
              <w:ind w:firstLine="480"/>
              <w:jc w:val="left"/>
            </w:pPr>
            <w:r>
              <w:rPr>
                <w:rFonts w:ascii="宋体" w:hAnsi="宋体" w:cs="宋体" w:eastAsia="宋体"/>
                <w:sz w:val="24"/>
              </w:rPr>
              <w:t>4、成交后立即向委托方提供项目管理机构以及人员安排的施工组织方案，其内容包括管理机构的设置、各主要岗位的技术和管理员名单、资质、联系方式及各工种技术工人的安排、项目实施进度安排、技术措施等状况。</w:t>
            </w:r>
          </w:p>
          <w:p>
            <w:pPr>
              <w:pStyle w:val="null3"/>
              <w:ind w:firstLine="480"/>
              <w:jc w:val="left"/>
            </w:pPr>
            <w:r>
              <w:rPr>
                <w:rFonts w:ascii="宋体" w:hAnsi="宋体" w:cs="宋体" w:eastAsia="宋体"/>
                <w:sz w:val="24"/>
              </w:rPr>
              <w:t>5、成交后，立即向委托方，报备施工中的器械、药物、工具、材料、交通、食宿等情况，组建项目部，3日内农药购置到位。</w:t>
            </w:r>
          </w:p>
          <w:p>
            <w:pPr>
              <w:pStyle w:val="null3"/>
              <w:ind w:firstLine="480"/>
              <w:jc w:val="left"/>
            </w:pPr>
            <w:r>
              <w:rPr>
                <w:rFonts w:ascii="宋体" w:hAnsi="宋体" w:cs="宋体" w:eastAsia="宋体"/>
                <w:sz w:val="24"/>
              </w:rPr>
              <w:t>6、严格按照《松褐天牛防治规范LY / T1866-2009》要求组织施工，施工前按工程要求筹备各项防治器械、材料、工具等，按技术规定进行施工作业。成交供应商采购的农药，必须提供的产品有效期应当在1年以上，且为正规厂家生产（三证齐全）。</w:t>
            </w:r>
          </w:p>
          <w:p>
            <w:pPr>
              <w:pStyle w:val="null3"/>
              <w:ind w:firstLine="480"/>
              <w:jc w:val="left"/>
            </w:pPr>
            <w:r>
              <w:rPr>
                <w:rFonts w:ascii="宋体" w:hAnsi="宋体" w:cs="宋体" w:eastAsia="宋体"/>
                <w:sz w:val="24"/>
              </w:rPr>
              <w:t>7、成交供应商向甲方提交施工作业过程性资料和防效报告，按相关要求执行。</w:t>
            </w:r>
          </w:p>
          <w:p>
            <w:pPr>
              <w:pStyle w:val="null3"/>
              <w:ind w:firstLine="480"/>
              <w:jc w:val="left"/>
            </w:pPr>
            <w:r>
              <w:rPr>
                <w:rFonts w:ascii="宋体" w:hAnsi="宋体" w:cs="宋体" w:eastAsia="宋体"/>
                <w:sz w:val="24"/>
              </w:rPr>
              <w:t>8、协助委托方及时组织召开检查验收、防治效果评价和防治竣工验收工作会议。</w:t>
            </w:r>
          </w:p>
          <w:p>
            <w:pPr>
              <w:pStyle w:val="null3"/>
              <w:ind w:firstLine="480"/>
              <w:jc w:val="left"/>
            </w:pPr>
            <w:r>
              <w:rPr>
                <w:rFonts w:ascii="宋体" w:hAnsi="宋体" w:cs="宋体" w:eastAsia="宋体"/>
                <w:sz w:val="24"/>
              </w:rPr>
              <w:t>9、成交供应商向甲方提交施工作业过程性资料和防效报告，按相关要求执行。</w:t>
            </w:r>
          </w:p>
        </w:tc>
      </w:tr>
    </w:tbl>
    <w:p>
      <w:pPr>
        <w:pStyle w:val="null3"/>
        <w:outlineLvl w:val="2"/>
      </w:pPr>
      <w:r>
        <w:rPr>
          <w:b/>
          <w:sz w:val="28"/>
        </w:rPr>
        <w:t>3.2.3人员配置要求</w:t>
      </w:r>
    </w:p>
    <w:p>
      <w:pPr>
        <w:pStyle w:val="null3"/>
      </w:pPr>
      <w:r>
        <w:rPr/>
        <w:t>采购包1：</w:t>
      </w:r>
    </w:p>
    <w:p>
      <w:pPr>
        <w:pStyle w:val="null3"/>
      </w:pPr>
      <w:r>
        <w:rPr/>
        <w:t>满足项目采购要求。</w:t>
      </w:r>
    </w:p>
    <w:p>
      <w:pPr>
        <w:pStyle w:val="null3"/>
        <w:outlineLvl w:val="2"/>
      </w:pPr>
      <w:r>
        <w:rPr>
          <w:b/>
          <w:sz w:val="28"/>
        </w:rPr>
        <w:t>3.2.4设施设备要求</w:t>
      </w:r>
    </w:p>
    <w:p>
      <w:pPr>
        <w:pStyle w:val="null3"/>
      </w:pPr>
      <w:r>
        <w:rPr/>
        <w:t>采购包1：</w:t>
      </w:r>
    </w:p>
    <w:p>
      <w:pPr>
        <w:pStyle w:val="null3"/>
      </w:pPr>
      <w:r>
        <w:rPr/>
        <w:t>满足项目采购要求。</w:t>
      </w:r>
    </w:p>
    <w:p>
      <w:pPr>
        <w:pStyle w:val="null3"/>
        <w:outlineLvl w:val="2"/>
      </w:pPr>
      <w:r>
        <w:rPr>
          <w:b/>
          <w:sz w:val="28"/>
        </w:rPr>
        <w:t>3.2.5其他要求</w:t>
      </w:r>
    </w:p>
    <w:p>
      <w:pPr>
        <w:pStyle w:val="null3"/>
      </w:pPr>
      <w:r>
        <w:rPr/>
        <w:t>采购包1：</w:t>
      </w:r>
    </w:p>
    <w:p>
      <w:pPr>
        <w:pStyle w:val="null3"/>
      </w:pPr>
      <w:r>
        <w:rPr/>
        <w:t>1、进度要求：（1）2024年4月15日前完成外业施工工作。 （2）2023年4月25日前完成内业整理、总结及验收、审计等工作。 2、松树打孔注药用药为甲氨基阿维菌素苯甲酸盐微孔剂，对松褐天牛具有很高的杀虫活性，其毒性极低，对人畜无害，药剂没有臭味或刺激性，但对桑蚕、蜜蜂、蚂蚱等有一定影响。请从事桑蚕、蜜蜂、蚂蚱、虾蟹等养殖的业户在树干注药期间采取避让和保护措施，确保安全。</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合同签订之日起至2024年4月15日</w:t>
      </w:r>
    </w:p>
    <w:p>
      <w:pPr>
        <w:pStyle w:val="null3"/>
        <w:outlineLvl w:val="3"/>
      </w:pPr>
      <w:r>
        <w:rPr>
          <w:b/>
          <w:sz w:val="24"/>
        </w:rPr>
        <w:t>3.3.2服务地点</w:t>
      </w:r>
    </w:p>
    <w:p>
      <w:pPr>
        <w:pStyle w:val="null3"/>
      </w:pPr>
      <w:r>
        <w:rPr/>
        <w:t>采购包1：</w:t>
      </w:r>
    </w:p>
    <w:p>
      <w:pPr>
        <w:pStyle w:val="null3"/>
      </w:pPr>
      <w:r>
        <w:rPr/>
        <w:t>松材线虫病防控—太平峪太煤路两侧</w:t>
      </w:r>
    </w:p>
    <w:p>
      <w:pPr>
        <w:pStyle w:val="null3"/>
        <w:outlineLvl w:val="3"/>
      </w:pPr>
      <w:r>
        <w:rPr>
          <w:b/>
          <w:sz w:val="24"/>
        </w:rPr>
        <w:t>3.3.3考核（验收）标准和方法</w:t>
      </w:r>
    </w:p>
    <w:p>
      <w:pPr>
        <w:pStyle w:val="null3"/>
      </w:pPr>
      <w:r>
        <w:rPr/>
        <w:t>采购包1：</w:t>
      </w:r>
    </w:p>
    <w:p>
      <w:pPr>
        <w:pStyle w:val="null3"/>
      </w:pPr>
      <w:r>
        <w:rPr/>
        <w:t>验收和结算 （1）验收：甲方根据招标文件、投标文件和合同约定标准、技术和服务逐项验收。施工完成后，甲方组织相关部门进行现场验收，随机抽查作业区树干注药树木不少于5%。检查是树干注药质量是否合格。 检查验收：经检查若存在下列问题将进行处罚： ①作业不规范或不按照标准施工作业的，处罚1000元/次。 ②存在无故未按时技术规程要求或现场不登记或乱登记、登记不清楚或不完全等问题，处罚1000元/次。 ③存在未防、漏防、防治效果未达到作业要求的地块，立即进行人工补防，如因未防、漏防未达到要求的或造成损失的承担相应的法律责任。 （2）结算：项目作业完成后，达到验收标准，验收合格后甲方付款前，乙方应按约定提供合规增值税发票，否则甲方有权拒绝付款且不因此承担任何违约责任。</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完成合同约定的所有内容，验收合格</w:t>
      </w:r>
      <w:r>
        <w:rPr/>
        <w:t xml:space="preserve"> ，达到付款条件起 </w:t>
      </w:r>
      <w:r>
        <w:rPr/>
        <w:t>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乙方未按合同要求及时提供松树打孔注药服务或提供的服务不能满足技术标准和要求，需在甲方指定的期限内无条件重新提供满足甲方需求的相关服务，否则甲方有权解除本合同，甲方解除合同的书面通知书到达乙方之日起合同解除，甲方可不向乙方支付任何费用。 2、合同生效后，除合同另有约定外，甲、乙双方不得中途毁约，否则视为违约，违约方除向对方支付已发生的各项费用外，还需支付违约金，违约为合同金额的10%。合同在履行中发生争议，由双方协商解决；协商不成时，任何一方均可向甲方住所地有管辖权的人民法院起诉。</w:t>
      </w:r>
    </w:p>
    <w:p>
      <w:pPr>
        <w:pStyle w:val="null3"/>
        <w:outlineLvl w:val="2"/>
      </w:pPr>
      <w:r>
        <w:rPr>
          <w:b/>
          <w:sz w:val="28"/>
        </w:rPr>
        <w:t>3.4其他要求</w:t>
      </w:r>
    </w:p>
    <w:p>
      <w:pPr>
        <w:pStyle w:val="null3"/>
      </w:pPr>
      <w:r>
        <w:rPr/>
        <w:t>成交供应商应在成交公告发布之日起3个工作日内将响应文件纸质版正本壹份、副本贰份、电子版（U盘1个）贰份（包含 word及PDF格式响应文件所有内容。）送达至招标代理机构。（纸质响应文件建议A4纸双面打印，正、副本分别各自装订成册并编制目录和页码，并加盖公章。）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3-1残疾人福利性单位声明函 3-2监狱企业的证明文件 3中小企业声明函</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法定代表人直接参与磋商的，须出 具法定代表人证明（附法人身份证 复印件）；法定代表人授权代表参 与磋商的，须出具法人授权委托书 （附法人及授权代表身份证复印件)</w:t>
            </w:r>
          </w:p>
        </w:tc>
        <w:tc>
          <w:tcPr>
            <w:tcW w:type="dxa" w:w="3322"/>
          </w:tcPr>
          <w:p>
            <w:pPr>
              <w:pStyle w:val="null3"/>
            </w:pPr>
            <w:r>
              <w:rPr/>
              <w:t>法定代表人直接参与磋商的，须出具法定代表 人证明（附法人身份证复印件）；法定代表人 授权代表参与磋商的，须出具法人授权委托书 （附法人及授权代表身份证复印件）。供应商 需在项目电子化交易系统中按要求上传相应证明文件并进行电子签章。</w:t>
            </w:r>
          </w:p>
        </w:tc>
        <w:tc>
          <w:tcPr>
            <w:tcW w:type="dxa" w:w="1661"/>
          </w:tcPr>
          <w:p>
            <w:pPr>
              <w:pStyle w:val="null3"/>
            </w:pPr>
            <w:r>
              <w:rPr/>
              <w:t>10法定代表人身份证明 10-1法定代表人授权书</w:t>
            </w:r>
          </w:p>
        </w:tc>
      </w:tr>
      <w:tr>
        <w:tc>
          <w:tcPr>
            <w:tcW w:type="dxa" w:w="831"/>
          </w:tcPr>
          <w:p>
            <w:pPr>
              <w:pStyle w:val="null3"/>
            </w:pPr>
            <w:r>
              <w:rPr/>
              <w:t>2</w:t>
            </w:r>
          </w:p>
        </w:tc>
        <w:tc>
          <w:tcPr>
            <w:tcW w:type="dxa" w:w="2492"/>
          </w:tcPr>
          <w:p>
            <w:pPr>
              <w:pStyle w:val="null3"/>
            </w:pPr>
            <w:r>
              <w:rPr/>
              <w:t>供应商具有林业有害生物防治作业资质证书</w:t>
            </w:r>
          </w:p>
        </w:tc>
        <w:tc>
          <w:tcPr>
            <w:tcW w:type="dxa" w:w="3322"/>
          </w:tcPr>
          <w:p>
            <w:pPr>
              <w:pStyle w:val="null3"/>
            </w:pPr>
            <w:r>
              <w:rPr/>
              <w:t>供应商具有林业有害生物防治作业资质证书。供应商需在项目电子化交易系统中按要求上传相应证明文件并进行电子签章。</w:t>
            </w:r>
          </w:p>
        </w:tc>
        <w:tc>
          <w:tcPr>
            <w:tcW w:type="dxa" w:w="1661"/>
          </w:tcPr>
          <w:p>
            <w:pPr>
              <w:pStyle w:val="null3"/>
            </w:pPr>
            <w:r>
              <w:rPr/>
              <w:t>11供应商具有林业有害生物防治作业资质证书</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磋商响应文件的完整性审查</w:t>
            </w:r>
          </w:p>
        </w:tc>
        <w:tc>
          <w:tcPr>
            <w:tcW w:type="dxa" w:w="3322"/>
          </w:tcPr>
          <w:p>
            <w:pPr>
              <w:pStyle w:val="null3"/>
            </w:pPr>
            <w:r>
              <w:rPr/>
              <w:t>（1）磋商响应文件是否按照磋商文件要求的格 式编写； （2）磋商响应文件内容是否有重大缺 漏项。</w:t>
            </w:r>
          </w:p>
        </w:tc>
        <w:tc>
          <w:tcPr>
            <w:tcW w:type="dxa" w:w="1661"/>
          </w:tcPr>
          <w:p>
            <w:pPr>
              <w:pStyle w:val="null3"/>
            </w:pPr>
            <w:r>
              <w:rPr/>
              <w:t>1响应文件封面 9服务方案 6商务应答表 5服务内容及服务邀请应答表</w:t>
            </w:r>
          </w:p>
        </w:tc>
      </w:tr>
      <w:tr>
        <w:tc>
          <w:tcPr>
            <w:tcW w:type="dxa" w:w="831"/>
          </w:tcPr>
          <w:p>
            <w:pPr>
              <w:pStyle w:val="null3"/>
            </w:pPr>
            <w:r>
              <w:rPr/>
              <w:t>2</w:t>
            </w:r>
          </w:p>
        </w:tc>
        <w:tc>
          <w:tcPr>
            <w:tcW w:type="dxa" w:w="2492"/>
          </w:tcPr>
          <w:p>
            <w:pPr>
              <w:pStyle w:val="null3"/>
            </w:pPr>
            <w:r>
              <w:rPr/>
              <w:t>磋商响应文件的有效性审查</w:t>
            </w:r>
          </w:p>
        </w:tc>
        <w:tc>
          <w:tcPr>
            <w:tcW w:type="dxa" w:w="3322"/>
          </w:tcPr>
          <w:p>
            <w:pPr>
              <w:pStyle w:val="null3"/>
            </w:pPr>
            <w:r>
              <w:rPr/>
              <w:t>（1）磋商响应文件的签署、加盖印章是否合格 、有效； （2）提供的各种证明文件、数据、资 料是否合格、有效。</w:t>
            </w:r>
          </w:p>
        </w:tc>
        <w:tc>
          <w:tcPr>
            <w:tcW w:type="dxa" w:w="1661"/>
          </w:tcPr>
          <w:p>
            <w:pPr>
              <w:pStyle w:val="null3"/>
            </w:pPr>
            <w:r>
              <w:rPr/>
              <w:t>4供应商应提交的相关资格证明材料 3-1残疾人福利性单位声明函 3-2监狱企业的证明文件 3中小企业声明函</w:t>
            </w:r>
          </w:p>
        </w:tc>
      </w:tr>
      <w:tr>
        <w:tc>
          <w:tcPr>
            <w:tcW w:type="dxa" w:w="831"/>
          </w:tcPr>
          <w:p>
            <w:pPr>
              <w:pStyle w:val="null3"/>
            </w:pPr>
            <w:r>
              <w:rPr/>
              <w:t>3</w:t>
            </w:r>
          </w:p>
        </w:tc>
        <w:tc>
          <w:tcPr>
            <w:tcW w:type="dxa" w:w="2492"/>
          </w:tcPr>
          <w:p>
            <w:pPr>
              <w:pStyle w:val="null3"/>
            </w:pPr>
            <w:r>
              <w:rPr/>
              <w:t>对磋商文件的响应性审查</w:t>
            </w:r>
          </w:p>
        </w:tc>
        <w:tc>
          <w:tcPr>
            <w:tcW w:type="dxa" w:w="3322"/>
          </w:tcPr>
          <w:p>
            <w:pPr>
              <w:pStyle w:val="null3"/>
            </w:pPr>
            <w:r>
              <w:rPr/>
              <w:t>（1）磋商报价唯一，是否超过最高限价； （2 ) 磋商有效期是否符合磋商文件的要求； （3） 对磋商文件商务部分指标是否完全响应。</w:t>
            </w:r>
          </w:p>
        </w:tc>
        <w:tc>
          <w:tcPr>
            <w:tcW w:type="dxa" w:w="1661"/>
          </w:tcPr>
          <w:p>
            <w:pPr>
              <w:pStyle w:val="null3"/>
            </w:pPr>
            <w:r>
              <w:rPr/>
              <w:t>2响应函 6商务应答表 7报价表 8标的清单</w:t>
            </w:r>
          </w:p>
        </w:tc>
      </w:tr>
      <w:tr>
        <w:tc>
          <w:tcPr>
            <w:tcW w:type="dxa" w:w="831"/>
          </w:tcPr>
          <w:p>
            <w:pPr>
              <w:pStyle w:val="null3"/>
            </w:pPr>
            <w:r>
              <w:rPr/>
              <w:t>4</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7报价表 8标的清单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1、实施方案内容全面、时间安排合理，服务区域明确，突出日常性工作、重点任务明确、可行性强的，得（6-10]分； 2、实施方案内容基本全面、重点任务明确、具有可行性的，得（3-6]分； 3、实施方案内容一般、实施路径模糊、重点任务不明确、具有一定可行性的，得（0-3]分。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p>
            <w:pPr>
              <w:pStyle w:val="null3"/>
            </w:pPr>
            <w:r>
              <w:rPr/>
              <w:t>5服务内容及服务邀请应答表</w:t>
            </w:r>
          </w:p>
          <w:p>
            <w:pPr>
              <w:pStyle w:val="null3"/>
            </w:pPr>
            <w:r>
              <w:rPr/>
              <w:t>6商务应答表</w:t>
            </w:r>
          </w:p>
        </w:tc>
      </w:tr>
      <w:tr>
        <w:tc>
          <w:tcPr>
            <w:tcW w:type="dxa" w:w="831"/>
            <w:vMerge/>
          </w:tcPr>
          <w:p/>
        </w:tc>
        <w:tc>
          <w:tcPr>
            <w:tcW w:type="dxa" w:w="1661"/>
          </w:tcPr>
          <w:p>
            <w:pPr>
              <w:pStyle w:val="null3"/>
            </w:pPr>
            <w:r>
              <w:rPr/>
              <w:t>检疫对象及项目认知</w:t>
            </w:r>
          </w:p>
        </w:tc>
        <w:tc>
          <w:tcPr>
            <w:tcW w:type="dxa" w:w="2492"/>
          </w:tcPr>
          <w:p>
            <w:pPr>
              <w:pStyle w:val="null3"/>
            </w:pPr>
            <w:r>
              <w:rPr/>
              <w:t>1、熟悉了解防控区域检疫对象、种类及生活习性特点，调查方法科学、措施到位，防控意见或建议的针对性、可行性强的，得（5-7]分； 2、基本了解防控区域检疫对象、种类及生活习性特点，调查方法、措施基本到位，防控意见或建议具有可行性的，得（2-5]分。 3、项目认知、调查方法、措施一般，防控意见或建议可行性差的，得（0-2]分。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安全生产施工保障措施</w:t>
            </w:r>
          </w:p>
        </w:tc>
        <w:tc>
          <w:tcPr>
            <w:tcW w:type="dxa" w:w="2492"/>
          </w:tcPr>
          <w:p>
            <w:pPr>
              <w:pStyle w:val="null3"/>
            </w:pPr>
            <w:r>
              <w:rPr/>
              <w:t>1、安全生产施工保障措施科学、合理、可行的，得（6-10]分； 2、安全生产施工保障措施基本合理可行的，得（3-6]分； 3、安全生产施工保障措施合理性和可行性较差的，得（0-3]分。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应急突发事件处理措施</w:t>
            </w:r>
          </w:p>
        </w:tc>
        <w:tc>
          <w:tcPr>
            <w:tcW w:type="dxa" w:w="2492"/>
          </w:tcPr>
          <w:p>
            <w:pPr>
              <w:pStyle w:val="null3"/>
            </w:pPr>
            <w:r>
              <w:rPr/>
              <w:t>1、应急和突发事件的处理措施方案全面、科学、合理、可行的，得（6-10]分； 2、基本全面、合理、可行的，得（3-6]分； 3、不全面、可行性较差的，得（0-3]分。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重点难点分析及解决方案</w:t>
            </w:r>
          </w:p>
        </w:tc>
        <w:tc>
          <w:tcPr>
            <w:tcW w:type="dxa" w:w="2492"/>
          </w:tcPr>
          <w:p>
            <w:pPr>
              <w:pStyle w:val="null3"/>
            </w:pPr>
            <w:r>
              <w:rPr/>
              <w:t>1、正确识别本项目重点难点，分析全面具体透彻，解决对策针对性强的，得（6-10]分； 2、重点难点分析较全面，但不够具体和透彻，解决对策较合理可行的，得（3-6]分； 3、有重点难点分析及解决对策，但描述不具体的，得（0-3]分。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质量保证措施</w:t>
            </w:r>
          </w:p>
        </w:tc>
        <w:tc>
          <w:tcPr>
            <w:tcW w:type="dxa" w:w="2492"/>
          </w:tcPr>
          <w:p>
            <w:pPr>
              <w:pStyle w:val="null3"/>
            </w:pPr>
            <w:r>
              <w:rPr/>
              <w:t>1、措施科学、合理、可行的，得（6-10]分； 2、基本合理可行的，得（3-6]分； 3、合理性和可行性较差的，得（0-3]分。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合理化建议及服务承诺</w:t>
            </w:r>
          </w:p>
        </w:tc>
        <w:tc>
          <w:tcPr>
            <w:tcW w:type="dxa" w:w="2492"/>
          </w:tcPr>
          <w:p>
            <w:pPr>
              <w:pStyle w:val="null3"/>
            </w:pPr>
            <w:r>
              <w:rPr/>
              <w:t>1、提出有利于提高项目管理水平或降低项目实施成本的建议，可根据其可行性和可信度，得（0-5]分； 2、提供详细、可行的服务响应机制并进行承诺，得（0-5]分。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培训</w:t>
            </w:r>
          </w:p>
        </w:tc>
        <w:tc>
          <w:tcPr>
            <w:tcW w:type="dxa" w:w="2492"/>
          </w:tcPr>
          <w:p>
            <w:pPr>
              <w:pStyle w:val="null3"/>
            </w:pPr>
            <w:r>
              <w:rPr/>
              <w:t>提供详细的培训计划及培训方式，根据情况综合评审，得（0-5]分。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9服务方案</w:t>
            </w:r>
          </w:p>
        </w:tc>
      </w:tr>
      <w:tr>
        <w:tc>
          <w:tcPr>
            <w:tcW w:type="dxa" w:w="831"/>
            <w:vMerge/>
          </w:tcPr>
          <w:p/>
        </w:tc>
        <w:tc>
          <w:tcPr>
            <w:tcW w:type="dxa" w:w="1661"/>
          </w:tcPr>
          <w:p>
            <w:pPr>
              <w:pStyle w:val="null3"/>
            </w:pPr>
            <w:r>
              <w:rPr/>
              <w:t>项目人员组成及设备</w:t>
            </w:r>
          </w:p>
        </w:tc>
        <w:tc>
          <w:tcPr>
            <w:tcW w:type="dxa" w:w="2492"/>
          </w:tcPr>
          <w:p>
            <w:pPr>
              <w:pStyle w:val="null3"/>
            </w:pPr>
            <w:r>
              <w:rPr/>
              <w:t>1、拟派本项目管理、技术、服务人员配备的数量及专业合理，完全满足服务需求的，根据情况综合评审，得（0-5]分； 2、项目负责人具有林业专业高级职称且有丰富的相关领域工作经验，曾负责过同类项目，根据情况综合评审，得（0-3]分； 3、拟投入本项目设备先进、齐全、合理并能达到要求的，根据情况及证明资料综合评审，得（0-5]分。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12拟派本项目管理、技术、服务人员情况表</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供应商提供2021年1月1日至今（以合同签订时间为准）同类项目业绩，每提供一个得1分，满分5分。（以合同复印件并加盖公章为评审依据）</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13业绩的有关证明材料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1、磋商报价采用低价优先法计算 , 即满足磋商文件要求且最后磋商 报价最低的报价为评审基准价，其 价格分为满分。其他供应商的价格 分统一按照下列公式计算： 磋商报 价得分=【评审基准价/磋商报价( 最终二次报价）】 ×10； 2、本项目专门面向中小企业采购，不再执行价格评审优惠扶持政策。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7报价表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详见附件：1响应文件封面</w:t>
      </w:r>
    </w:p>
    <w:p>
      <w:pPr>
        <w:pStyle w:val="null3"/>
        <w:ind w:firstLine="960"/>
      </w:pPr>
      <w:r>
        <w:rPr/>
        <w:t>详见附件：2响应函</w:t>
      </w:r>
    </w:p>
    <w:p>
      <w:pPr>
        <w:pStyle w:val="null3"/>
        <w:ind w:firstLine="960"/>
      </w:pPr>
      <w:r>
        <w:rPr/>
        <w:t>详见附件：3中小企业声明函</w:t>
      </w:r>
    </w:p>
    <w:p>
      <w:pPr>
        <w:pStyle w:val="null3"/>
        <w:ind w:firstLine="960"/>
      </w:pPr>
      <w:r>
        <w:rPr/>
        <w:t>详见附件：3-1残疾人福利性单位声明函</w:t>
      </w:r>
    </w:p>
    <w:p>
      <w:pPr>
        <w:pStyle w:val="null3"/>
        <w:ind w:firstLine="960"/>
      </w:pPr>
      <w:r>
        <w:rPr/>
        <w:t>详见附件：3-2监狱企业的证明文件</w:t>
      </w:r>
    </w:p>
    <w:p>
      <w:pPr>
        <w:pStyle w:val="null3"/>
        <w:ind w:firstLine="960"/>
      </w:pPr>
      <w:r>
        <w:rPr/>
        <w:t>详见附件：4供应商应提交的相关资格证明材料</w:t>
      </w:r>
    </w:p>
    <w:p>
      <w:pPr>
        <w:pStyle w:val="null3"/>
        <w:ind w:firstLine="960"/>
      </w:pPr>
      <w:r>
        <w:rPr/>
        <w:t>详见附件：5服务内容及服务邀请应答表</w:t>
      </w:r>
    </w:p>
    <w:p>
      <w:pPr>
        <w:pStyle w:val="null3"/>
        <w:ind w:firstLine="960"/>
      </w:pPr>
      <w:r>
        <w:rPr/>
        <w:t>详见附件：6商务应答表</w:t>
      </w:r>
    </w:p>
    <w:p>
      <w:pPr>
        <w:pStyle w:val="null3"/>
        <w:ind w:firstLine="960"/>
      </w:pPr>
      <w:r>
        <w:rPr/>
        <w:t>详见附件：7报价表</w:t>
      </w:r>
    </w:p>
    <w:p>
      <w:pPr>
        <w:pStyle w:val="null3"/>
        <w:ind w:firstLine="960"/>
      </w:pPr>
      <w:r>
        <w:rPr/>
        <w:t>详见附件：8标的清单</w:t>
      </w:r>
    </w:p>
    <w:p>
      <w:pPr>
        <w:pStyle w:val="null3"/>
        <w:ind w:firstLine="960"/>
      </w:pPr>
      <w:r>
        <w:rPr/>
        <w:t>详见附件：9服务方案</w:t>
      </w:r>
    </w:p>
    <w:p>
      <w:pPr>
        <w:pStyle w:val="null3"/>
        <w:ind w:firstLine="960"/>
      </w:pPr>
      <w:r>
        <w:rPr/>
        <w:t>详见附件：10法定代表人身份证明</w:t>
      </w:r>
    </w:p>
    <w:p>
      <w:pPr>
        <w:pStyle w:val="null3"/>
        <w:ind w:firstLine="960"/>
      </w:pPr>
      <w:r>
        <w:rPr/>
        <w:t>详见附件：10-1法定代表人授权书</w:t>
      </w:r>
    </w:p>
    <w:p>
      <w:pPr>
        <w:pStyle w:val="null3"/>
        <w:ind w:firstLine="960"/>
      </w:pPr>
      <w:r>
        <w:rPr/>
        <w:t>详见附件：11供应商具有林业有害生物防治作业资质证书</w:t>
      </w:r>
    </w:p>
    <w:p>
      <w:pPr>
        <w:pStyle w:val="null3"/>
        <w:ind w:firstLine="960"/>
      </w:pPr>
      <w:r>
        <w:rPr/>
        <w:t>详见附件：12拟派本项目管理、技术、服务人员情况表</w:t>
      </w:r>
    </w:p>
    <w:p>
      <w:pPr>
        <w:pStyle w:val="null3"/>
        <w:ind w:firstLine="960"/>
      </w:pPr>
      <w:r>
        <w:rPr/>
        <w:t>详见附件：13业绩的有关证明材料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