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鄠邑区2024年度秦岭生态环境保护智慧管控系统设备维护项目</w:t>
      </w:r>
    </w:p>
    <w:p>
      <w:pPr>
        <w:pStyle w:val="null3"/>
        <w:jc w:val="center"/>
        <w:outlineLvl w:val="2"/>
      </w:pPr>
      <w:r>
        <w:rPr>
          <w:b/>
          <w:sz w:val="28"/>
        </w:rPr>
        <w:t>采购项目编号：</w:t>
      </w:r>
      <w:r>
        <w:rPr>
          <w:b/>
          <w:sz w:val="28"/>
        </w:rPr>
        <w:t>HJCS2401-076</w:t>
      </w:r>
      <w:r>
        <w:br/>
      </w:r>
      <w:r>
        <w:br/>
      </w:r>
      <w:r>
        <w:br/>
      </w:r>
    </w:p>
    <w:p>
      <w:pPr>
        <w:pStyle w:val="null3"/>
        <w:jc w:val="center"/>
        <w:outlineLvl w:val="2"/>
      </w:pPr>
      <w:r>
        <w:rPr>
          <w:b/>
          <w:sz w:val="28"/>
        </w:rPr>
        <w:t>西安市鄠邑秦岭生态环境保护和综合执法局（区林业局）</w:t>
      </w:r>
    </w:p>
    <w:p>
      <w:pPr>
        <w:pStyle w:val="null3"/>
        <w:jc w:val="center"/>
        <w:outlineLvl w:val="2"/>
      </w:pPr>
      <w:r>
        <w:rPr>
          <w:b/>
          <w:sz w:val="28"/>
        </w:rPr>
        <w:t>陕西海佳项目管理有限公司</w:t>
      </w:r>
      <w:r>
        <w:rPr>
          <w:b/>
          <w:sz w:val="28"/>
        </w:rPr>
        <w:t>共同编制</w:t>
      </w:r>
    </w:p>
    <w:p>
      <w:pPr>
        <w:pStyle w:val="null3"/>
        <w:jc w:val="center"/>
        <w:outlineLvl w:val="2"/>
      </w:pPr>
      <w:r>
        <w:rPr>
          <w:b/>
          <w:sz w:val="28"/>
        </w:rPr>
        <w:t>2024年04月08日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陕西海佳项目管理有限公司</w:t>
      </w:r>
      <w:r>
        <w:rPr/>
        <w:t>（以下简称“代理机构”）受</w:t>
      </w:r>
      <w:r>
        <w:rPr/>
        <w:t>西安市鄠邑秦岭生态环境保护和综合执法局（区林业局）</w:t>
      </w:r>
      <w:r>
        <w:rPr/>
        <w:t>委托，拟对</w:t>
      </w:r>
      <w:r>
        <w:rPr/>
        <w:t>鄠邑区2024年度秦岭生态环境保护智慧管控系统设备维护项目</w:t>
      </w:r>
      <w:r>
        <w:rPr/>
        <w:t>采用竞争性磋商采购方式进行采购，兹邀请供应商参加本项目的竞争性磋商。</w:t>
      </w:r>
    </w:p>
    <w:p>
      <w:pPr>
        <w:pStyle w:val="null3"/>
        <w:outlineLvl w:val="2"/>
      </w:pPr>
      <w:r>
        <w:rPr>
          <w:b/>
          <w:sz w:val="28"/>
        </w:rPr>
        <w:t>一、项目编号：</w:t>
      </w:r>
      <w:r>
        <w:rPr>
          <w:b/>
          <w:sz w:val="28"/>
        </w:rPr>
        <w:t>HJCS2401-076</w:t>
      </w:r>
    </w:p>
    <w:p>
      <w:pPr>
        <w:pStyle w:val="null3"/>
        <w:outlineLvl w:val="2"/>
      </w:pPr>
      <w:r>
        <w:rPr>
          <w:b/>
          <w:sz w:val="28"/>
        </w:rPr>
        <w:t>二、项目名称：</w:t>
      </w:r>
      <w:r>
        <w:rPr>
          <w:b/>
          <w:sz w:val="28"/>
        </w:rPr>
        <w:t>鄠邑区2024年度秦岭生态环境保护智慧管控系统设备维护项目</w:t>
      </w:r>
    </w:p>
    <w:p>
      <w:pPr>
        <w:pStyle w:val="null3"/>
        <w:outlineLvl w:val="2"/>
      </w:pPr>
      <w:r>
        <w:rPr>
          <w:b/>
          <w:sz w:val="28"/>
        </w:rPr>
        <w:t>三、磋商项目简介</w:t>
      </w:r>
    </w:p>
    <w:p>
      <w:pPr>
        <w:pStyle w:val="null3"/>
        <w:ind w:firstLine="480"/>
      </w:pPr>
      <w:r>
        <w:rPr/>
        <w:t>西安市鄠邑区秦岭生态环境保护智慧管控系统于2020年建设完成并投入使用。自2020年完成建设以来，已经累计运营时间超过36个月，为了智慧管控系统的正常运转，本次主要对太平峪、环山路沿线、涝峪已安装的地面监控设备和秦岭保护总站机房网络设备、服务器设备及软件平台进行维护。</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采购包1（鄠邑区2024年度秦岭生态环境保护智慧管控系统设备维护项目）：属于专门面向中小企业采购。</w:t>
      </w:r>
    </w:p>
    <w:p>
      <w:pPr>
        <w:pStyle w:val="null3"/>
        <w:ind w:firstLine="480"/>
      </w:pPr>
      <w:r>
        <w:rPr/>
        <w:t>（三）本项目的特定资格要求：</w:t>
      </w:r>
    </w:p>
    <w:p>
      <w:pPr>
        <w:pStyle w:val="null3"/>
      </w:pPr>
      <w:r>
        <w:rPr/>
        <w:t>采购包1：</w:t>
      </w:r>
    </w:p>
    <w:p>
      <w:pPr>
        <w:pStyle w:val="null3"/>
      </w:pPr>
      <w:r>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t>2、良好的商业信誉和健全的财务会计制度：2023年度经审计的财务报告或在2023年9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t>3、有依法缴纳税收和社会保障资金的良好记录：提供2023年9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p>
      <w:pPr>
        <w:pStyle w:val="null3"/>
      </w:pPr>
      <w:r>
        <w:rPr/>
        <w:t>4、书面声明：（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p>
      <w:pPr>
        <w:pStyle w:val="null3"/>
      </w:pPr>
      <w:r>
        <w:rPr/>
        <w:t>5、法律、行政法规规定的其他条件：（1）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t>6、供应商企业关系关联及联合体说明：1.本项目不接受联合体磋商； 2.单位负责人为同一人或者存在直接控股、管理关系的不同供应商，不得参加同一合同项下的政府采购活动； 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西安市鄠邑秦岭生态环境保护和综合执法局（区林业局）</w:t>
      </w:r>
    </w:p>
    <w:p>
      <w:pPr>
        <w:pStyle w:val="null3"/>
      </w:pPr>
      <w:r>
        <w:rPr/>
        <w:t xml:space="preserve"> 地址： </w:t>
      </w:r>
      <w:r>
        <w:rPr/>
        <w:t>鄠邑区沣京路42号</w:t>
      </w:r>
    </w:p>
    <w:p>
      <w:pPr>
        <w:pStyle w:val="null3"/>
      </w:pPr>
      <w:r>
        <w:rPr/>
        <w:t xml:space="preserve"> 邮编： </w:t>
      </w:r>
      <w:r>
        <w:rPr/>
        <w:t>710300</w:t>
      </w:r>
    </w:p>
    <w:p>
      <w:pPr>
        <w:pStyle w:val="null3"/>
      </w:pPr>
      <w:r>
        <w:rPr/>
        <w:t xml:space="preserve"> 联系人： </w:t>
      </w:r>
      <w:r>
        <w:rPr/>
        <w:t>刘江锋</w:t>
      </w:r>
    </w:p>
    <w:p>
      <w:pPr>
        <w:pStyle w:val="null3"/>
      </w:pPr>
      <w:r>
        <w:rPr/>
        <w:t xml:space="preserve"> 联系电话： </w:t>
      </w:r>
      <w:r>
        <w:rPr/>
        <w:t>029-84817933</w:t>
      </w:r>
    </w:p>
    <w:p>
      <w:pPr>
        <w:pStyle w:val="null3"/>
        <w:outlineLvl w:val="3"/>
      </w:pPr>
      <w:r>
        <w:rPr>
          <w:b/>
          <w:sz w:val="24"/>
        </w:rPr>
        <w:t>代理机构：</w:t>
      </w:r>
      <w:r>
        <w:rPr>
          <w:b/>
          <w:sz w:val="24"/>
        </w:rPr>
        <w:t>陕西海佳项目管理有限公司</w:t>
      </w:r>
    </w:p>
    <w:p>
      <w:pPr>
        <w:pStyle w:val="null3"/>
      </w:pPr>
      <w:r>
        <w:rPr/>
        <w:t xml:space="preserve"> 地址： </w:t>
      </w:r>
      <w:r>
        <w:rPr/>
        <w:t>陕西省西安市唐延路35号旺座现代城C座2602-2604室</w:t>
      </w:r>
    </w:p>
    <w:p>
      <w:pPr>
        <w:pStyle w:val="null3"/>
      </w:pPr>
      <w:r>
        <w:rPr/>
        <w:t xml:space="preserve"> 邮编： </w:t>
      </w:r>
      <w:r>
        <w:rPr/>
        <w:t>710000</w:t>
      </w:r>
    </w:p>
    <w:p>
      <w:pPr>
        <w:pStyle w:val="null3"/>
      </w:pPr>
      <w:r>
        <w:rPr/>
        <w:t xml:space="preserve"> 联系人： </w:t>
      </w:r>
      <w:r>
        <w:rPr/>
        <w:t>姚博怀</w:t>
      </w:r>
    </w:p>
    <w:p>
      <w:pPr>
        <w:pStyle w:val="null3"/>
      </w:pPr>
      <w:r>
        <w:rPr/>
        <w:t xml:space="preserve"> 联系电话： </w:t>
      </w:r>
      <w:r>
        <w:rPr/>
        <w:t>02988765319</w:t>
      </w:r>
    </w:p>
    <w:p>
      <w:pPr>
        <w:pStyle w:val="null3"/>
        <w:outlineLvl w:val="3"/>
      </w:pPr>
      <w:r>
        <w:rPr>
          <w:b/>
          <w:sz w:val="24"/>
        </w:rPr>
        <w:t>采购监督机构：</w:t>
      </w:r>
      <w:r>
        <w:rPr>
          <w:b/>
          <w:sz w:val="24"/>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代理服务费收费标准：代理服务费收费标准：依据《国家计委关于印发&lt;招标代理服务收费管理暂行办法&gt;的通知》（计价格【2002】1980号）标准下浮10%收取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西安市鄠邑秦岭生态环境保护和综合执法局（区林业局）</w:t>
      </w:r>
      <w:r>
        <w:rPr/>
        <w:t>和</w:t>
      </w:r>
      <w:r>
        <w:rPr/>
        <w:t>陕西海佳项目管理有限公司</w:t>
      </w:r>
      <w:r>
        <w:rPr/>
        <w:t>享有。对磋商文件中供应商参加本次政府采购活动应当具备的条件，磋商项目技术、服务、商务及其他要求，评审细则及标准由</w:t>
      </w:r>
      <w:r>
        <w:rPr/>
        <w:t>西安市鄠邑秦岭生态环境保护和综合执法局（区林业局）</w:t>
      </w:r>
      <w:r>
        <w:rPr/>
        <w:t>负责解释。除上述磋商文件内容，其他内容由</w:t>
      </w:r>
      <w:r>
        <w:rPr/>
        <w:t>陕西海佳项目管理有限公司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西安市鄠邑秦岭生态环境保护和综合执法局（区林业局）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陕西海佳项目管理有限公司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依据磋商文件及合同约定</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陕西海佳项目管理有限公司</w:t>
      </w:r>
      <w:r>
        <w:rPr/>
        <w:t xml:space="preserve"> 负责答复；供应商对除采购需求外的采购文件的询问、质疑由</w:t>
      </w:r>
      <w:r>
        <w:rPr/>
        <w:t>陕西海佳项目管理有限公司</w:t>
      </w:r>
      <w:r>
        <w:rPr/>
        <w:t xml:space="preserve"> 负责答复；供应商对采购过程、采购结果的询问、质疑由 </w:t>
      </w:r>
      <w:r>
        <w:rPr/>
        <w:t>陕西海佳项目管理有限公司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联系人：姚博怀</w:t>
      </w:r>
    </w:p>
    <w:p>
      <w:pPr>
        <w:pStyle w:val="null3"/>
      </w:pPr>
      <w:r>
        <w:rPr/>
        <w:t>联系电话：02988765319</w:t>
      </w:r>
    </w:p>
    <w:p>
      <w:pPr>
        <w:pStyle w:val="null3"/>
      </w:pPr>
      <w:r>
        <w:rPr/>
        <w:t>地址：陕西省西安市雁塔区西安市高新区唐延路35号旺座现代城C座2602-2604室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鄠邑区秦岭生态环境保护智慧管控系统于2020年建设完成并投入使用。自2020年完成建设以来，已经累计运营时间超过36个月，为了智慧管控系统的正常运转，本次主要对太平峪、环山路沿线、涝峪已安装的地面监控设备和秦岭保护总站机房网络设备、服务器设备及软件平台进行维护。</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340,000.00</w:t>
      </w:r>
    </w:p>
    <w:p>
      <w:pPr>
        <w:pStyle w:val="null3"/>
      </w:pPr>
      <w:r>
        <w:rPr/>
        <w:t>采购包最高限价（元）: 340,000.00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维保</w:t>
            </w:r>
          </w:p>
        </w:tc>
        <w:tc>
          <w:tcPr>
            <w:tcW w:type="dxa" w:w="831"/>
          </w:tcPr>
          <w:p>
            <w:pPr>
              <w:pStyle w:val="null3"/>
              <w:jc w:val="right"/>
            </w:pPr>
            <w:r>
              <w:rPr/>
              <w:t>1.00</w:t>
            </w:r>
          </w:p>
        </w:tc>
        <w:tc>
          <w:tcPr>
            <w:tcW w:type="dxa" w:w="831"/>
          </w:tcPr>
          <w:p>
            <w:pPr>
              <w:pStyle w:val="null3"/>
              <w:jc w:val="right"/>
            </w:pPr>
            <w:r>
              <w:rPr/>
              <w:t>340,000.00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15"/>
              <w:ind w:left="420"/>
              <w:jc w:val="center"/>
            </w:pPr>
            <w:r>
              <w:rPr>
                <w:rFonts w:ascii="仿宋" w:hAnsi="仿宋" w:cs="仿宋" w:eastAsia="仿宋"/>
                <w:b/>
                <w:sz w:val="32"/>
              </w:rPr>
              <w:t>西安市鄠邑区秦岭保护智慧管控设备维护技术要求</w:t>
            </w:r>
          </w:p>
          <w:p>
            <w:pPr>
              <w:pStyle w:val="null3"/>
              <w:spacing w:before="315"/>
              <w:ind w:left="420"/>
              <w:jc w:val="both"/>
            </w:pPr>
            <w:r>
              <w:rPr>
                <w:rFonts w:ascii="仿宋" w:hAnsi="仿宋" w:cs="仿宋" w:eastAsia="仿宋"/>
                <w:b/>
                <w:sz w:val="28"/>
              </w:rPr>
              <w:t>一、项目</w:t>
            </w:r>
            <w:r>
              <w:rPr>
                <w:rFonts w:ascii="仿宋" w:hAnsi="仿宋" w:cs="仿宋" w:eastAsia="仿宋"/>
                <w:b/>
                <w:sz w:val="28"/>
              </w:rPr>
              <w:t>概况</w:t>
            </w:r>
          </w:p>
          <w:p>
            <w:pPr>
              <w:pStyle w:val="null3"/>
              <w:ind w:firstLine="560"/>
              <w:jc w:val="both"/>
            </w:pPr>
            <w:r>
              <w:rPr>
                <w:rFonts w:ascii="仿宋" w:hAnsi="仿宋" w:cs="仿宋" w:eastAsia="仿宋"/>
                <w:sz w:val="28"/>
              </w:rPr>
              <w:t>西安市鄠邑区秦岭生态环境保护智慧管控系统于</w:t>
            </w:r>
            <w:r>
              <w:rPr>
                <w:rFonts w:ascii="仿宋" w:hAnsi="仿宋" w:cs="仿宋" w:eastAsia="仿宋"/>
                <w:sz w:val="28"/>
              </w:rPr>
              <w:t>2020年建设完成并投入使用。自2020年完成建设以来，已经累计运营时间超过36个月，为了智慧管控系统的正常运转，本次</w:t>
            </w:r>
            <w:r>
              <w:rPr>
                <w:rFonts w:ascii="仿宋" w:hAnsi="仿宋" w:cs="仿宋" w:eastAsia="仿宋"/>
                <w:sz w:val="28"/>
              </w:rPr>
              <w:t>主要对太平峪、环山路沿线、涝峪已安装的地面监控设备和秦岭保护总站机房网络设备、服务器设备及软件平台进行维护。</w:t>
            </w:r>
          </w:p>
          <w:p>
            <w:pPr>
              <w:pStyle w:val="null3"/>
              <w:spacing w:before="315"/>
              <w:ind w:left="420"/>
              <w:jc w:val="both"/>
            </w:pPr>
            <w:r>
              <w:rPr>
                <w:rFonts w:ascii="仿宋" w:hAnsi="仿宋" w:cs="仿宋" w:eastAsia="仿宋"/>
                <w:b/>
                <w:sz w:val="28"/>
              </w:rPr>
              <w:t>二、服务内容</w:t>
            </w:r>
          </w:p>
          <w:p>
            <w:pPr>
              <w:pStyle w:val="null3"/>
              <w:ind w:firstLine="560"/>
              <w:jc w:val="both"/>
            </w:pPr>
            <w:r>
              <w:rPr>
                <w:rFonts w:ascii="仿宋" w:hAnsi="仿宋" w:cs="仿宋" w:eastAsia="仿宋"/>
                <w:sz w:val="28"/>
              </w:rPr>
              <w:t>维保区域包含太平峪、环山路沿线、涝峪。维保内容包含已建成并交付使用的所有地面监控点位设备和中心侧设备。设备类型分为</w:t>
            </w:r>
            <w:r>
              <w:rPr>
                <w:rFonts w:ascii="仿宋" w:hAnsi="仿宋" w:cs="仿宋" w:eastAsia="仿宋"/>
                <w:sz w:val="28"/>
              </w:rPr>
              <w:t>3类，即视频类前端设备、非视频类功能点位设备、秦岭保护总站机房设备。</w:t>
            </w:r>
          </w:p>
          <w:p>
            <w:pPr>
              <w:pStyle w:val="null3"/>
              <w:ind w:firstLine="560"/>
              <w:jc w:val="both"/>
            </w:pPr>
            <w:r>
              <w:rPr>
                <w:rFonts w:ascii="仿宋" w:hAnsi="仿宋" w:cs="仿宋" w:eastAsia="仿宋"/>
                <w:sz w:val="28"/>
              </w:rPr>
              <w:t>视频类前端设备：枪机、球机、半球机、枪球一体机。</w:t>
            </w:r>
          </w:p>
          <w:p>
            <w:pPr>
              <w:pStyle w:val="null3"/>
              <w:ind w:firstLine="560"/>
              <w:jc w:val="both"/>
            </w:pPr>
            <w:r>
              <w:rPr>
                <w:rFonts w:ascii="仿宋" w:hAnsi="仿宋" w:cs="仿宋" w:eastAsia="仿宋"/>
                <w:sz w:val="28"/>
              </w:rPr>
              <w:t>非视频类功能点位设备：卡口、音柱、河道喇叭、车辆道闸、一键报警。</w:t>
            </w:r>
          </w:p>
          <w:p>
            <w:pPr>
              <w:pStyle w:val="null3"/>
              <w:ind w:firstLine="560"/>
              <w:jc w:val="both"/>
            </w:pPr>
            <w:r>
              <w:rPr>
                <w:rFonts w:ascii="仿宋" w:hAnsi="仿宋" w:cs="仿宋" w:eastAsia="仿宋"/>
                <w:sz w:val="28"/>
              </w:rPr>
              <w:t>总站机房设备：服务器、防火墙、交换机、硬盘录像机、核心交换机、存储服务器、终端设备。</w:t>
            </w:r>
          </w:p>
          <w:p>
            <w:pPr>
              <w:pStyle w:val="null3"/>
              <w:ind w:firstLine="560"/>
              <w:jc w:val="both"/>
            </w:pPr>
            <w:r>
              <w:rPr>
                <w:rFonts w:ascii="仿宋" w:hAnsi="仿宋" w:cs="仿宋" w:eastAsia="仿宋"/>
                <w:sz w:val="28"/>
              </w:rPr>
              <w:t>对以上所述设备硬件及定制开发的可视化软件进行运行维护、软件升级、加固和故障处理。</w:t>
            </w:r>
          </w:p>
          <w:p>
            <w:pPr>
              <w:pStyle w:val="null3"/>
              <w:ind w:firstLine="560"/>
              <w:jc w:val="both"/>
            </w:pPr>
            <w:r>
              <w:rPr>
                <w:rFonts w:ascii="仿宋" w:hAnsi="仿宋" w:cs="仿宋" w:eastAsia="仿宋"/>
                <w:sz w:val="28"/>
              </w:rPr>
              <w:t>三、技术要求</w:t>
            </w:r>
          </w:p>
          <w:p>
            <w:pPr>
              <w:pStyle w:val="null3"/>
              <w:ind w:firstLine="560"/>
              <w:jc w:val="both"/>
            </w:pPr>
            <w:r>
              <w:rPr>
                <w:rFonts w:ascii="仿宋" w:hAnsi="仿宋" w:cs="仿宋" w:eastAsia="仿宋"/>
                <w:sz w:val="28"/>
              </w:rPr>
              <w:t>1.视频类前端设备确保画面在线、功能正常、稳定运行。</w:t>
            </w:r>
          </w:p>
          <w:p>
            <w:pPr>
              <w:pStyle w:val="null3"/>
              <w:ind w:firstLine="560"/>
              <w:jc w:val="both"/>
            </w:pPr>
            <w:r>
              <w:rPr>
                <w:rFonts w:ascii="仿宋" w:hAnsi="仿宋" w:cs="仿宋" w:eastAsia="仿宋"/>
                <w:sz w:val="28"/>
              </w:rPr>
              <w:t>2.非视频类功能点位设备，确保符合工作要求、功能正常、稳定运行。</w:t>
            </w:r>
          </w:p>
          <w:p>
            <w:pPr>
              <w:pStyle w:val="null3"/>
              <w:ind w:firstLine="560"/>
              <w:jc w:val="both"/>
            </w:pPr>
            <w:r>
              <w:rPr>
                <w:rFonts w:ascii="仿宋" w:hAnsi="仿宋" w:cs="仿宋" w:eastAsia="仿宋"/>
                <w:sz w:val="28"/>
              </w:rPr>
              <w:t>3.总站机房设备，确保前端点位正常实现预览、分析、存储、回放、数据交换传输等功能。</w:t>
            </w:r>
          </w:p>
          <w:p>
            <w:pPr>
              <w:pStyle w:val="null3"/>
              <w:spacing w:before="315"/>
              <w:ind w:left="420"/>
              <w:jc w:val="both"/>
            </w:pPr>
            <w:r>
              <w:rPr>
                <w:rFonts w:ascii="仿宋" w:hAnsi="仿宋" w:cs="仿宋" w:eastAsia="仿宋"/>
                <w:b/>
                <w:sz w:val="28"/>
              </w:rPr>
              <w:t>四、服务要求</w:t>
            </w:r>
          </w:p>
          <w:p>
            <w:pPr>
              <w:pStyle w:val="null3"/>
              <w:jc w:val="both"/>
            </w:pPr>
            <w:r>
              <w:rPr>
                <w:rFonts w:ascii="仿宋" w:hAnsi="仿宋" w:cs="仿宋" w:eastAsia="仿宋"/>
                <w:sz w:val="28"/>
              </w:rPr>
              <w:t>1、</w:t>
            </w:r>
            <w:r>
              <w:rPr>
                <w:rFonts w:ascii="仿宋" w:hAnsi="仿宋" w:cs="仿宋" w:eastAsia="仿宋"/>
                <w:sz w:val="28"/>
              </w:rPr>
              <w:t>提供专业管理人员、网络工程师、监控技术人员</w:t>
            </w:r>
            <w:r>
              <w:rPr>
                <w:rFonts w:ascii="仿宋" w:hAnsi="仿宋" w:cs="仿宋" w:eastAsia="仿宋"/>
                <w:sz w:val="28"/>
              </w:rPr>
              <w:t>多名驻场服务</w:t>
            </w:r>
            <w:r>
              <w:rPr>
                <w:rFonts w:ascii="仿宋" w:hAnsi="仿宋" w:cs="仿宋" w:eastAsia="仿宋"/>
                <w:sz w:val="28"/>
              </w:rPr>
              <w:t>；</w:t>
            </w:r>
            <w:r>
              <w:rPr>
                <w:rFonts w:ascii="仿宋" w:hAnsi="仿宋" w:cs="仿宋" w:eastAsia="仿宋"/>
                <w:sz w:val="28"/>
              </w:rPr>
              <w:t>施工人员若干名。</w:t>
            </w:r>
          </w:p>
          <w:p>
            <w:pPr>
              <w:pStyle w:val="null3"/>
              <w:jc w:val="both"/>
            </w:pPr>
            <w:r>
              <w:rPr>
                <w:rFonts w:ascii="仿宋" w:hAnsi="仿宋" w:cs="仿宋" w:eastAsia="仿宋"/>
                <w:sz w:val="28"/>
              </w:rPr>
              <w:t>2、 建立完善的故障处理流程，确保故障发生后能够迅速响应并</w:t>
            </w:r>
            <w:r>
              <w:rPr>
                <w:rFonts w:ascii="仿宋" w:hAnsi="仿宋" w:cs="仿宋" w:eastAsia="仿宋"/>
                <w:sz w:val="28"/>
              </w:rPr>
              <w:t>及时</w:t>
            </w:r>
            <w:r>
              <w:rPr>
                <w:rFonts w:ascii="仿宋" w:hAnsi="仿宋" w:cs="仿宋" w:eastAsia="仿宋"/>
                <w:sz w:val="28"/>
              </w:rPr>
              <w:t>修复</w:t>
            </w:r>
            <w:r>
              <w:rPr>
                <w:rFonts w:ascii="仿宋" w:hAnsi="仿宋" w:cs="仿宋" w:eastAsia="仿宋"/>
                <w:sz w:val="28"/>
              </w:rPr>
              <w:t>。</w:t>
            </w:r>
          </w:p>
          <w:p>
            <w:pPr>
              <w:pStyle w:val="null3"/>
              <w:jc w:val="both"/>
            </w:pPr>
            <w:r>
              <w:rPr>
                <w:rFonts w:ascii="仿宋" w:hAnsi="仿宋" w:cs="仿宋" w:eastAsia="仿宋"/>
                <w:sz w:val="28"/>
              </w:rPr>
              <w:t>3、能够提供7x24小时的技术支持与故障</w:t>
            </w:r>
            <w:r>
              <w:rPr>
                <w:rFonts w:ascii="仿宋" w:hAnsi="仿宋" w:cs="仿宋" w:eastAsia="仿宋"/>
                <w:sz w:val="28"/>
              </w:rPr>
              <w:t>应急</w:t>
            </w:r>
            <w:r>
              <w:rPr>
                <w:rFonts w:ascii="仿宋" w:hAnsi="仿宋" w:cs="仿宋" w:eastAsia="仿宋"/>
                <w:sz w:val="28"/>
              </w:rPr>
              <w:t>响应服务</w:t>
            </w:r>
            <w:r>
              <w:rPr>
                <w:rFonts w:ascii="仿宋" w:hAnsi="仿宋" w:cs="仿宋" w:eastAsia="仿宋"/>
                <w:sz w:val="28"/>
              </w:rPr>
              <w:t>。</w:t>
            </w:r>
          </w:p>
          <w:p>
            <w:pPr>
              <w:pStyle w:val="null3"/>
              <w:spacing w:before="315"/>
              <w:ind w:left="420"/>
              <w:jc w:val="both"/>
            </w:pPr>
            <w:r>
              <w:rPr>
                <w:rFonts w:ascii="仿宋" w:hAnsi="仿宋" w:cs="仿宋" w:eastAsia="仿宋"/>
                <w:b/>
                <w:sz w:val="28"/>
              </w:rPr>
              <w:t>五、商务要求</w:t>
            </w:r>
          </w:p>
          <w:p>
            <w:pPr>
              <w:pStyle w:val="null3"/>
              <w:jc w:val="both"/>
            </w:pPr>
            <w:r>
              <w:rPr>
                <w:rFonts w:ascii="仿宋" w:hAnsi="仿宋" w:cs="仿宋" w:eastAsia="仿宋"/>
                <w:sz w:val="28"/>
              </w:rPr>
              <w:t>（一）服务期限</w:t>
            </w:r>
          </w:p>
          <w:p>
            <w:pPr>
              <w:pStyle w:val="null3"/>
              <w:ind w:firstLine="560"/>
              <w:jc w:val="left"/>
            </w:pPr>
            <w:r>
              <w:rPr>
                <w:rFonts w:ascii="仿宋" w:hAnsi="仿宋" w:cs="仿宋" w:eastAsia="仿宋"/>
                <w:sz w:val="28"/>
              </w:rPr>
              <w:t>自合同签订之日起</w:t>
            </w:r>
            <w:r>
              <w:rPr>
                <w:rFonts w:ascii="仿宋" w:hAnsi="仿宋" w:cs="仿宋" w:eastAsia="仿宋"/>
                <w:sz w:val="28"/>
              </w:rPr>
              <w:t>1年。</w:t>
            </w:r>
          </w:p>
          <w:p>
            <w:pPr>
              <w:pStyle w:val="null3"/>
              <w:jc w:val="both"/>
            </w:pPr>
          </w:p>
        </w:tc>
      </w:tr>
    </w:tbl>
    <w:p>
      <w:pPr>
        <w:pStyle w:val="null3"/>
        <w:outlineLvl w:val="2"/>
      </w:pPr>
      <w:r>
        <w:rPr>
          <w:b/>
          <w:sz w:val="28"/>
        </w:rPr>
        <w:t>3.2.3人员配置要求</w:t>
      </w:r>
    </w:p>
    <w:p>
      <w:pPr>
        <w:pStyle w:val="null3"/>
      </w:pPr>
      <w:r>
        <w:rPr/>
        <w:t>采购包1：</w:t>
      </w:r>
    </w:p>
    <w:p>
      <w:pPr>
        <w:pStyle w:val="null3"/>
      </w:pPr>
      <w:r>
        <w:rPr/>
        <w:t>满足项目要求，供应商根据单位自身及项目实际情况自主配置。</w:t>
      </w:r>
    </w:p>
    <w:p>
      <w:pPr>
        <w:pStyle w:val="null3"/>
        <w:outlineLvl w:val="2"/>
      </w:pPr>
      <w:r>
        <w:rPr>
          <w:b/>
          <w:sz w:val="28"/>
        </w:rPr>
        <w:t>3.2.4设施设备要求</w:t>
      </w:r>
    </w:p>
    <w:p>
      <w:pPr>
        <w:pStyle w:val="null3"/>
      </w:pPr>
      <w:r>
        <w:rPr/>
        <w:t>采购包1：</w:t>
      </w:r>
    </w:p>
    <w:p>
      <w:pPr>
        <w:pStyle w:val="null3"/>
      </w:pPr>
      <w:r>
        <w:rPr/>
        <w:t>满足项目要求，供应商根据单位自身及项目实际情况自主配置。</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鄠邑区秦岭保护区域（太平峪、环山路沿线、涝峪及各峪口峪道）</w:t>
      </w:r>
    </w:p>
    <w:p>
      <w:pPr>
        <w:pStyle w:val="null3"/>
        <w:outlineLvl w:val="3"/>
      </w:pPr>
      <w:r>
        <w:rPr>
          <w:b/>
          <w:sz w:val="24"/>
        </w:rPr>
        <w:t>3.3.3考核（验收）标准和方法</w:t>
      </w:r>
    </w:p>
    <w:p>
      <w:pPr>
        <w:pStyle w:val="null3"/>
      </w:pPr>
      <w:r>
        <w:rPr/>
        <w:t>采购包1：</w:t>
      </w:r>
    </w:p>
    <w:p>
      <w:pPr>
        <w:pStyle w:val="null3"/>
      </w:pPr>
      <w:r>
        <w:rPr/>
        <w:t>根据合同约定标准验收</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合同签订后，完成第一季度任务后</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完成第二季度任务后</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完成第三季度任务后</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完成第四季度任务后</w:t>
      </w:r>
      <w:r>
        <w:rPr/>
        <w:t xml:space="preserve"> ，达到付款条件起 </w:t>
      </w:r>
      <w:r>
        <w:rPr/>
        <w:t>15</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依据磋商文件及合同约定</w:t>
      </w:r>
    </w:p>
    <w:p>
      <w:pPr>
        <w:pStyle w:val="null3"/>
        <w:outlineLvl w:val="2"/>
      </w:pPr>
      <w:r>
        <w:rPr>
          <w:b/>
          <w:sz w:val="28"/>
        </w:rPr>
        <w:t>3.4其他要求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 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独立承担民事责任的能力</w:t>
            </w:r>
          </w:p>
        </w:tc>
        <w:tc>
          <w:tcPr>
            <w:tcW w:type="dxa" w:w="3322"/>
          </w:tcPr>
          <w:p>
            <w:pPr>
              <w:pStyle w:val="null3"/>
            </w:pPr>
            <w:r>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2</w:t>
            </w:r>
          </w:p>
        </w:tc>
        <w:tc>
          <w:tcPr>
            <w:tcW w:type="dxa" w:w="2492"/>
          </w:tcPr>
          <w:p>
            <w:pPr>
              <w:pStyle w:val="null3"/>
            </w:pPr>
            <w:r>
              <w:rPr/>
              <w:t>良好的商业信誉和健全的财务会计制度</w:t>
            </w:r>
          </w:p>
        </w:tc>
        <w:tc>
          <w:tcPr>
            <w:tcW w:type="dxa" w:w="3322"/>
          </w:tcPr>
          <w:p>
            <w:pPr>
              <w:pStyle w:val="null3"/>
            </w:pPr>
            <w:r>
              <w:rPr/>
              <w:t>2023年度经审计的财务报告或在2023年9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t>响应函 相关资格证明材料</w:t>
            </w:r>
          </w:p>
        </w:tc>
      </w:tr>
      <w:tr>
        <w:tc>
          <w:tcPr>
            <w:tcW w:type="dxa" w:w="831"/>
          </w:tcPr>
          <w:p>
            <w:pPr>
              <w:pStyle w:val="null3"/>
            </w:pPr>
            <w:r>
              <w:rPr/>
              <w:t>3</w:t>
            </w:r>
          </w:p>
        </w:tc>
        <w:tc>
          <w:tcPr>
            <w:tcW w:type="dxa" w:w="2492"/>
          </w:tcPr>
          <w:p>
            <w:pPr>
              <w:pStyle w:val="null3"/>
            </w:pPr>
            <w:r>
              <w:rPr/>
              <w:t>有依法缴纳税收和社会保障资金的良好记录</w:t>
            </w:r>
          </w:p>
        </w:tc>
        <w:tc>
          <w:tcPr>
            <w:tcW w:type="dxa" w:w="3322"/>
          </w:tcPr>
          <w:p>
            <w:pPr>
              <w:pStyle w:val="null3"/>
            </w:pPr>
            <w:r>
              <w:rPr/>
              <w:t>提供2023年9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tc>
        <w:tc>
          <w:tcPr>
            <w:tcW w:type="dxa" w:w="1661"/>
          </w:tcPr>
          <w:p>
            <w:pPr>
              <w:pStyle w:val="null3"/>
            </w:pPr>
            <w:r>
              <w:rPr/>
              <w:t>响应函 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tc>
        <w:tc>
          <w:tcPr>
            <w:tcW w:type="dxa" w:w="1661"/>
          </w:tcPr>
          <w:p>
            <w:pPr>
              <w:pStyle w:val="null3"/>
            </w:pPr>
            <w:r>
              <w:rPr/>
              <w:t>响应函 相关资格证明材料</w:t>
            </w:r>
          </w:p>
        </w:tc>
      </w:tr>
      <w:tr>
        <w:tc>
          <w:tcPr>
            <w:tcW w:type="dxa" w:w="831"/>
          </w:tcPr>
          <w:p>
            <w:pPr>
              <w:pStyle w:val="null3"/>
            </w:pPr>
            <w:r>
              <w:rPr/>
              <w:t>5</w:t>
            </w:r>
          </w:p>
        </w:tc>
        <w:tc>
          <w:tcPr>
            <w:tcW w:type="dxa" w:w="2492"/>
          </w:tcPr>
          <w:p>
            <w:pPr>
              <w:pStyle w:val="null3"/>
            </w:pPr>
            <w:r>
              <w:rPr/>
              <w:t>法律、行政法规规定的其他条件</w:t>
            </w:r>
          </w:p>
        </w:tc>
        <w:tc>
          <w:tcPr>
            <w:tcW w:type="dxa" w:w="3322"/>
          </w:tcPr>
          <w:p>
            <w:pPr>
              <w:pStyle w:val="null3"/>
            </w:pPr>
            <w:r>
              <w:rPr/>
              <w:t>（1）法定代表人直接参加投标的，须提供法定代表人身份证明；法定代表人授权代表参加投标的，须提供法定代表人授权委托书；供应商需在项目电子化交易系统中按要求上传相应证明文件并进行电子签章。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t>响应函 相关资格证明材料</w:t>
            </w:r>
          </w:p>
        </w:tc>
      </w:tr>
      <w:tr>
        <w:tc>
          <w:tcPr>
            <w:tcW w:type="dxa" w:w="831"/>
          </w:tcPr>
          <w:p>
            <w:pPr>
              <w:pStyle w:val="null3"/>
            </w:pPr>
            <w:r>
              <w:rPr/>
              <w:t>6</w:t>
            </w:r>
          </w:p>
        </w:tc>
        <w:tc>
          <w:tcPr>
            <w:tcW w:type="dxa" w:w="2492"/>
          </w:tcPr>
          <w:p>
            <w:pPr>
              <w:pStyle w:val="null3"/>
            </w:pPr>
            <w:r>
              <w:rPr/>
              <w:t>供应商企业关系关联及联合体说明</w:t>
            </w:r>
          </w:p>
        </w:tc>
        <w:tc>
          <w:tcPr>
            <w:tcW w:type="dxa" w:w="3322"/>
          </w:tcPr>
          <w:p>
            <w:pPr>
              <w:pStyle w:val="null3"/>
            </w:pPr>
            <w:r>
              <w:rPr/>
              <w:t>1.本项目不接受联合体磋商； 2.单位负责人为同一人或者存在直接控股、管理关系的不同供应商，不得参加同一合同项下的政府采购活动；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t>响应函 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整体服务的方案</w:t>
            </w:r>
          </w:p>
        </w:tc>
        <w:tc>
          <w:tcPr>
            <w:tcW w:type="dxa" w:w="2492"/>
          </w:tcPr>
          <w:p>
            <w:pPr>
              <w:pStyle w:val="null3"/>
            </w:pPr>
            <w:r>
              <w:rPr/>
              <w:t>针对西安市鄠邑区秦岭保护智慧管控项目提供整体的服务方案。 根据方案的完整性赋分，内容完整且无遗漏得10分，基本完整结构合理得7分，内容不够完整得4分，无方案不得分；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服务方案响应格式</w:t>
            </w:r>
          </w:p>
          <w:p>
            <w:pPr>
              <w:pStyle w:val="null3"/>
            </w:pPr>
            <w:r>
              <w:rPr/>
              <w:t>服务内容及服务邀请应答表</w:t>
            </w:r>
          </w:p>
        </w:tc>
      </w:tr>
      <w:tr>
        <w:tc>
          <w:tcPr>
            <w:tcW w:type="dxa" w:w="831"/>
            <w:vMerge/>
          </w:tcPr>
          <w:p/>
        </w:tc>
        <w:tc>
          <w:tcPr>
            <w:tcW w:type="dxa" w:w="1661"/>
          </w:tcPr>
          <w:p>
            <w:pPr>
              <w:pStyle w:val="null3"/>
            </w:pPr>
            <w:r>
              <w:rPr/>
              <w:t>合理化建议</w:t>
            </w:r>
          </w:p>
        </w:tc>
        <w:tc>
          <w:tcPr>
            <w:tcW w:type="dxa" w:w="2492"/>
          </w:tcPr>
          <w:p>
            <w:pPr>
              <w:pStyle w:val="null3"/>
            </w:pPr>
            <w:r>
              <w:rPr/>
              <w:t>在满足采购人需求的基础上额外提供了合理化建议方案，根据其完整性、科学性赋分，内容完整且科学得5分，基本完整且合理得3分，内容不够完整得2分，无方案不得分。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重点和难点分析</w:t>
            </w:r>
          </w:p>
        </w:tc>
        <w:tc>
          <w:tcPr>
            <w:tcW w:type="dxa" w:w="2492"/>
          </w:tcPr>
          <w:p>
            <w:pPr>
              <w:pStyle w:val="null3"/>
            </w:pPr>
            <w:r>
              <w:rPr/>
              <w:t>对项目运维的需求重点和难点进行分析，根据其完整性、科学性赋分，内容完整且科学得5分，基本完整且合理得3分，内容不够完整得2分，无方案不得分；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应急预案</w:t>
            </w:r>
          </w:p>
        </w:tc>
        <w:tc>
          <w:tcPr>
            <w:tcW w:type="dxa" w:w="2492"/>
          </w:tcPr>
          <w:p>
            <w:pPr>
              <w:pStyle w:val="null3"/>
            </w:pPr>
            <w:r>
              <w:rPr/>
              <w:t>针对本项目提供有效、可行的应急事件处理和特殊时段保障预案。内容完整且科学得10分，基本完整且合理得7分，内容不够完整得4分，无方案不得分；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软件运维方案</w:t>
            </w:r>
          </w:p>
        </w:tc>
        <w:tc>
          <w:tcPr>
            <w:tcW w:type="dxa" w:w="2492"/>
          </w:tcPr>
          <w:p>
            <w:pPr>
              <w:pStyle w:val="null3"/>
            </w:pPr>
            <w:r>
              <w:rPr/>
              <w:t>1、针对本项目提供详细的可视化定制系统整体运维服务方案，包含多个监控软件平台的软件加固、升级、日常巡检、故障应急维护等。方案设计合理、服务体系架构完整且科学得10分，基本完整且合理得7分，内容不够完整得4分，无方案不得分； 2、基于对机房管理服务器、存储服务器、算法服务器、网络设备软件系统架构全面了解，能够给出详细的系统架构、端口映射、VLAN划分等软件方案并制定合理的运维服务。方案完整且可行，得5分； 方案内容较为完整，得3分； 方案内容简单，得2分。无方案不得分；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机房硬件运维服务方案</w:t>
            </w:r>
          </w:p>
        </w:tc>
        <w:tc>
          <w:tcPr>
            <w:tcW w:type="dxa" w:w="2492"/>
          </w:tcPr>
          <w:p>
            <w:pPr>
              <w:pStyle w:val="null3"/>
            </w:pPr>
            <w:r>
              <w:rPr/>
              <w:t>基于对机房网络设备、服务器、存储、硬盘录像机系统架构全面了解，能够给出详细的系统架构、网络拓扑、组网方式并制定合理的运维服务。方案完整且可行，得10分； 方案内容较为完整，得7分； 方案内容简单，得4分。无方案不得分；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备品备件方案</w:t>
            </w:r>
          </w:p>
        </w:tc>
        <w:tc>
          <w:tcPr>
            <w:tcW w:type="dxa" w:w="2492"/>
          </w:tcPr>
          <w:p>
            <w:pPr>
              <w:pStyle w:val="null3"/>
            </w:pPr>
            <w:r>
              <w:rPr/>
              <w:t>针对本项目提供有效、可行的备品、备件方案，根据方案的优劣程度赋分，内容完整得5分，基本完整且合理得3分，内容不够完整得2分，无方案不得分；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运维检修工具、仪器、工程车辆配备情况</w:t>
            </w:r>
          </w:p>
        </w:tc>
        <w:tc>
          <w:tcPr>
            <w:tcW w:type="dxa" w:w="2492"/>
          </w:tcPr>
          <w:p>
            <w:pPr>
              <w:pStyle w:val="null3"/>
            </w:pPr>
            <w:r>
              <w:rPr/>
              <w:t>针对本项目运维提供的检修工具、设备仪器、车辆配备情况合理、种类齐全得5分；配备情况较合理、种类较齐全得3分；配备情况及种类一般得2分。无方案不得分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质量保证措施及增值服务</w:t>
            </w:r>
          </w:p>
        </w:tc>
        <w:tc>
          <w:tcPr>
            <w:tcW w:type="dxa" w:w="2492"/>
          </w:tcPr>
          <w:p>
            <w:pPr>
              <w:pStyle w:val="null3"/>
            </w:pPr>
            <w:r>
              <w:rPr/>
              <w:t>1、提供明确的质量保证措施方案。内容完整且合理得5分； 内容较为完整可行，得3分； 内容简单，得2分，无方案不得分； 2、提供相关软、硬件原厂增值服务。内容完整且合理得5分； 内容较为完整可行，得3分； 内容简单，得2分，无方案不得分；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服务方案响应格式</w:t>
            </w:r>
          </w:p>
        </w:tc>
      </w:tr>
      <w:tr>
        <w:tc>
          <w:tcPr>
            <w:tcW w:type="dxa" w:w="831"/>
            <w:vMerge/>
          </w:tcPr>
          <w:p/>
        </w:tc>
        <w:tc>
          <w:tcPr>
            <w:tcW w:type="dxa" w:w="1661"/>
          </w:tcPr>
          <w:p>
            <w:pPr>
              <w:pStyle w:val="null3"/>
            </w:pPr>
            <w:r>
              <w:rPr/>
              <w:t>驻场运维人员</w:t>
            </w:r>
          </w:p>
        </w:tc>
        <w:tc>
          <w:tcPr>
            <w:tcW w:type="dxa" w:w="2492"/>
          </w:tcPr>
          <w:p>
            <w:pPr>
              <w:pStyle w:val="null3"/>
            </w:pPr>
            <w:r>
              <w:rPr/>
              <w:t>拟投入运维团队：网络工程师、软件技术、监控技术人员、施工人员若干名。分工明确、配置合理，有相关证书且经验丰富，专业技术强，完全满足项目要求计得7分； 分工较明确、配置较合理、经验较丰富的，基本满足项目要求计4分， 分工不明确、配置一般、经验一般的，不能保证满足项目要求计2分。未提供不得分。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驻场运维人员组成表</w:t>
            </w:r>
          </w:p>
          <w:p>
            <w:pPr>
              <w:pStyle w:val="null3"/>
            </w:pPr>
            <w:r>
              <w:rPr/>
              <w:t>服务方案响应格式</w:t>
            </w:r>
          </w:p>
        </w:tc>
      </w:tr>
      <w:tr>
        <w:tc>
          <w:tcPr>
            <w:tcW w:type="dxa" w:w="831"/>
            <w:vMerge/>
          </w:tcPr>
          <w:p/>
        </w:tc>
        <w:tc>
          <w:tcPr>
            <w:tcW w:type="dxa" w:w="1661"/>
          </w:tcPr>
          <w:p>
            <w:pPr>
              <w:pStyle w:val="null3"/>
            </w:pPr>
            <w:r>
              <w:rPr/>
              <w:t>业绩</w:t>
            </w:r>
          </w:p>
        </w:tc>
        <w:tc>
          <w:tcPr>
            <w:tcW w:type="dxa" w:w="2492"/>
          </w:tcPr>
          <w:p>
            <w:pPr>
              <w:pStyle w:val="null3"/>
            </w:pPr>
            <w:r>
              <w:rPr/>
              <w:t>提供类似项目的业绩，评审时以业绩合同（复印件加盖公章）为计分依据，每出具一份得2分，满分8分。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满足磋商文件实质性要求且最终报价最低的供应商的价格为磋商基准价，其价格分为满分10分。 2.磋商总报价得分=(磋商基准价／最终磋商总报价)×10 注：计算分数时四舍五入取小数点后两位；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详见附件：相关资格证明材料</w:t>
      </w:r>
    </w:p>
    <w:p>
      <w:pPr>
        <w:pStyle w:val="null3"/>
        <w:ind w:firstLine="960"/>
      </w:pPr>
      <w:r>
        <w:rPr/>
        <w:t>详见附件：业绩一览表</w:t>
      </w:r>
    </w:p>
    <w:p>
      <w:pPr>
        <w:pStyle w:val="null3"/>
        <w:ind w:firstLine="960"/>
      </w:pPr>
      <w:r>
        <w:rPr/>
        <w:t>详见附件：驻场运维人员组成表</w:t>
      </w:r>
    </w:p>
    <w:p>
      <w:pPr>
        <w:pStyle w:val="null3"/>
        <w:ind w:firstLine="960"/>
      </w:pPr>
      <w:r>
        <w:rPr/>
        <w:t>详见附件：服务方案响应格式</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