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2024年西安市鄠邑区林草湿综合监测暨森林督查工作</w:t>
      </w:r>
    </w:p>
    <w:p>
      <w:pPr>
        <w:pStyle w:val="null3"/>
        <w:jc w:val="center"/>
        <w:outlineLvl w:val="2"/>
      </w:pPr>
      <w:r>
        <w:rPr>
          <w:b/>
          <w:sz w:val="28"/>
        </w:rPr>
        <w:t>采购项目编号：</w:t>
      </w:r>
      <w:r>
        <w:rPr>
          <w:b/>
          <w:sz w:val="28"/>
        </w:rPr>
        <w:t>HJCS2401-045</w:t>
      </w:r>
      <w:r>
        <w:br/>
      </w:r>
      <w:r>
        <w:br/>
      </w:r>
      <w:r>
        <w:br/>
      </w:r>
    </w:p>
    <w:p>
      <w:pPr>
        <w:pStyle w:val="null3"/>
        <w:jc w:val="center"/>
        <w:outlineLvl w:val="2"/>
      </w:pPr>
      <w:r>
        <w:rPr>
          <w:b/>
          <w:sz w:val="28"/>
        </w:rPr>
        <w:t>西安市鄠邑秦岭生态环境保护和综合执法局（区林业局）</w:t>
      </w:r>
    </w:p>
    <w:p>
      <w:pPr>
        <w:pStyle w:val="null3"/>
        <w:jc w:val="center"/>
        <w:outlineLvl w:val="2"/>
      </w:pPr>
      <w:r>
        <w:rPr>
          <w:b/>
          <w:sz w:val="28"/>
        </w:rPr>
        <w:t>陕西海佳项目管理有限公司</w:t>
      </w:r>
      <w:r>
        <w:rPr>
          <w:b/>
          <w:sz w:val="28"/>
        </w:rPr>
        <w:t>共同编制</w:t>
      </w:r>
    </w:p>
    <w:p>
      <w:pPr>
        <w:pStyle w:val="null3"/>
        <w:jc w:val="center"/>
        <w:outlineLvl w:val="2"/>
      </w:pPr>
      <w:r>
        <w:rPr>
          <w:b/>
          <w:sz w:val="28"/>
        </w:rPr>
        <w:t>2024年03月13日</w:t>
      </w:r>
    </w:p>
    <w:p>
      <w:pPr>
        <w:pStyle w:val="null3"/>
      </w:pPr>
      <w:r>
        <w:rPr/>
        <w:t xml:space="preserve"> </w:t>
      </w:r>
    </w:p>
    <w:p>
      <w:pPr>
        <w:pStyle w:val="null3"/>
        <w:jc w:val="center"/>
        <w:outlineLvl w:val="1"/>
      </w:pPr>
      <w:r>
        <w:rPr>
          <w:b/>
          <w:sz w:val="36"/>
        </w:rPr>
        <w:t>第一章 竞争性磋商邀请</w:t>
      </w:r>
    </w:p>
    <w:p>
      <w:pPr>
        <w:pStyle w:val="null3"/>
        <w:ind w:firstLine="480"/>
      </w:pPr>
      <w:r>
        <w:rPr/>
        <w:t>陕西海佳项目管理有限公司</w:t>
      </w:r>
      <w:r>
        <w:rPr/>
        <w:t>（以下简称“代理机构”）受</w:t>
      </w:r>
      <w:r>
        <w:rPr/>
        <w:t>西安市鄠邑秦岭生态环境保护和综合执法局（区林业局）</w:t>
      </w:r>
      <w:r>
        <w:rPr/>
        <w:t>委托，拟对</w:t>
      </w:r>
      <w:r>
        <w:rPr/>
        <w:t>2024年西安市鄠邑区林草湿综合监测暨森林督查工作</w:t>
      </w:r>
      <w:r>
        <w:rPr/>
        <w:t>采用竞争性磋商采购方式进行采购，兹邀请供应商参加本项目的竞争性磋商。</w:t>
      </w:r>
    </w:p>
    <w:p>
      <w:pPr>
        <w:pStyle w:val="null3"/>
        <w:outlineLvl w:val="2"/>
      </w:pPr>
      <w:r>
        <w:rPr>
          <w:b/>
          <w:sz w:val="28"/>
        </w:rPr>
        <w:t>一、项目编号：</w:t>
      </w:r>
      <w:r>
        <w:rPr>
          <w:b/>
          <w:sz w:val="28"/>
        </w:rPr>
        <w:t>HJCS2401-045</w:t>
      </w:r>
    </w:p>
    <w:p>
      <w:pPr>
        <w:pStyle w:val="null3"/>
        <w:outlineLvl w:val="2"/>
      </w:pPr>
      <w:r>
        <w:rPr>
          <w:b/>
          <w:sz w:val="28"/>
        </w:rPr>
        <w:t>二、项目名称：</w:t>
      </w:r>
      <w:r>
        <w:rPr>
          <w:b/>
          <w:sz w:val="28"/>
        </w:rPr>
        <w:t>2024年西安市鄠邑区林草湿综合监测暨森林督查工作</w:t>
      </w:r>
    </w:p>
    <w:p>
      <w:pPr>
        <w:pStyle w:val="null3"/>
        <w:outlineLvl w:val="2"/>
      </w:pPr>
      <w:r>
        <w:rPr>
          <w:b/>
          <w:sz w:val="28"/>
        </w:rPr>
        <w:t>三、磋商项目简介</w:t>
      </w:r>
    </w:p>
    <w:p>
      <w:pPr>
        <w:pStyle w:val="null3"/>
        <w:ind w:firstLine="480"/>
      </w:pPr>
      <w:r>
        <w:rPr/>
        <w:t>按照国家林业和草原局的统一安排及省市林业局要求，在自然资源统一调查监测体系框架下，以国土变更调查成果为底图，在林地、草地、湿地的二级地类基础上统一制作林草湿调查监测底图，开展年度调查监测，掌握全市森林、草原、湿地资源现状和变化情况，科学评价森林、草原、湿地资源质量和生态状况，同步支撑林地年度变更调查,为科学开展森林、草原、湿地生态系统保护修复、监督管理、林长制督查考核、实施碳达峰碳中和战略、实现林业草原国家公园“三位一体”高质量融合发展等提供决策支撑，为切实履行统一行使全民所有自然资源资产所有者职责、统一行使所有国土空间用途管制和生态保护修复职责提供服务保障，为生态文明建设目标评价考核提供科学依据。</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采购包1（2024年西安市鄠邑区林草湿综合监测暨森林督查工作）：属于专门面向小微企业采购。</w:t>
      </w:r>
    </w:p>
    <w:p>
      <w:pPr>
        <w:pStyle w:val="null3"/>
        <w:ind w:firstLine="480"/>
      </w:pPr>
      <w:r>
        <w:rPr/>
        <w:t>（三）本项目的特定资格要求：</w:t>
      </w:r>
    </w:p>
    <w:p>
      <w:pPr>
        <w:pStyle w:val="null3"/>
      </w:pPr>
      <w:r>
        <w:rPr/>
        <w:t>采购包1：</w:t>
      </w:r>
    </w:p>
    <w:p>
      <w:pPr>
        <w:pStyle w:val="null3"/>
      </w:pPr>
      <w:r>
        <w:rPr/>
        <w:t>1、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t>2、良好的商业信誉和健全的财务会计制度：2023年度经审计的财务报告或在2023年9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t>3、有依法缴纳税收和社会保障资金的良好记录：提供2023年9月1日至今任意时段的缴纳证明，依法免税或不需要缴纳社会保障资金的投标人须提供相应证明文件，事业单位法人可不提供社会保障资金缴纳证明，供应商需在项目电子化交易系统中按要求上传相应证明文件并进行电子签章。</w:t>
      </w:r>
    </w:p>
    <w:p>
      <w:pPr>
        <w:pStyle w:val="null3"/>
      </w:pPr>
      <w:r>
        <w:rPr/>
        <w:t>4、书面声明：（1）参加本次政府采购活动前三年内在经营活动中没有重大违纪，以及未被列入失信被执行人、重大税收违法失信主体、政府采购严重违法失信行为记录名单的书面声明；（2）提供具有履行本合同所必需的设备和专业技术能力的声明；供应商需在项目电子化交易系统中按要求上传相应证明文件并进行电子签章。</w:t>
      </w:r>
    </w:p>
    <w:p>
      <w:pPr>
        <w:pStyle w:val="null3"/>
      </w:pPr>
      <w:r>
        <w:rPr/>
        <w:t>5、法律、行政法规规定的其他条件：（1）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t>6、供应商企业关系关联及联合体说明：1.本项目不接受联合体磋商； 2.单位负责人为同一人或者存在直接控股、管理关系的不同供应商，不得参加同一合同项下的政府采购活动； 供应商需在项目电子化交易系统中按要求上传相应证明文件并进行电子签章。</w:t>
      </w:r>
    </w:p>
    <w:p>
      <w:pPr>
        <w:pStyle w:val="null3"/>
      </w:pPr>
      <w:r>
        <w:rPr/>
        <w:t>7、本项目专门面向小微企业：供应商提供小微企业或监狱企业或残疾人福利单位的声明函。</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西安市鄠邑秦岭生态环境保护和综合执法局（区林业局）</w:t>
      </w:r>
    </w:p>
    <w:p>
      <w:pPr>
        <w:pStyle w:val="null3"/>
      </w:pPr>
      <w:r>
        <w:rPr/>
        <w:t xml:space="preserve"> 地址： </w:t>
      </w:r>
      <w:r>
        <w:rPr/>
        <w:t>鄠邑区沣京路42号</w:t>
      </w:r>
    </w:p>
    <w:p>
      <w:pPr>
        <w:pStyle w:val="null3"/>
      </w:pPr>
      <w:r>
        <w:rPr/>
        <w:t xml:space="preserve"> 邮编： </w:t>
      </w:r>
      <w:r>
        <w:rPr/>
        <w:t>710300</w:t>
      </w:r>
    </w:p>
    <w:p>
      <w:pPr>
        <w:pStyle w:val="null3"/>
      </w:pPr>
      <w:r>
        <w:rPr/>
        <w:t xml:space="preserve"> 联系人： </w:t>
      </w:r>
      <w:r>
        <w:rPr/>
        <w:t>张锋</w:t>
      </w:r>
    </w:p>
    <w:p>
      <w:pPr>
        <w:pStyle w:val="null3"/>
      </w:pPr>
      <w:r>
        <w:rPr/>
        <w:t xml:space="preserve"> 联系电话： </w:t>
      </w:r>
      <w:r>
        <w:rPr/>
        <w:t>84886181</w:t>
      </w:r>
    </w:p>
    <w:p>
      <w:pPr>
        <w:pStyle w:val="null3"/>
        <w:outlineLvl w:val="3"/>
      </w:pPr>
      <w:r>
        <w:rPr>
          <w:b/>
          <w:sz w:val="24"/>
        </w:rPr>
        <w:t>代理机构：</w:t>
      </w:r>
      <w:r>
        <w:rPr>
          <w:b/>
          <w:sz w:val="24"/>
        </w:rPr>
        <w:t>陕西海佳项目管理有限公司</w:t>
      </w:r>
    </w:p>
    <w:p>
      <w:pPr>
        <w:pStyle w:val="null3"/>
      </w:pPr>
      <w:r>
        <w:rPr/>
        <w:t xml:space="preserve"> 地址： </w:t>
      </w:r>
      <w:r>
        <w:rPr/>
        <w:t>陕西省西安市雁塔区西安市高新区唐延路35号旺座现代城C座2602-2604室</w:t>
      </w:r>
    </w:p>
    <w:p>
      <w:pPr>
        <w:pStyle w:val="null3"/>
      </w:pPr>
      <w:r>
        <w:rPr/>
        <w:t xml:space="preserve"> 邮编： </w:t>
      </w:r>
      <w:r>
        <w:rPr/>
        <w:t>710000</w:t>
      </w:r>
    </w:p>
    <w:p>
      <w:pPr>
        <w:pStyle w:val="null3"/>
      </w:pPr>
      <w:r>
        <w:rPr/>
        <w:t xml:space="preserve"> 联系人： </w:t>
      </w:r>
      <w:r>
        <w:rPr/>
        <w:t>姚博怀</w:t>
      </w:r>
    </w:p>
    <w:p>
      <w:pPr>
        <w:pStyle w:val="null3"/>
      </w:pPr>
      <w:r>
        <w:rPr/>
        <w:t xml:space="preserve"> 联系电话： </w:t>
      </w:r>
      <w:r>
        <w:rPr/>
        <w:t>02988765319</w:t>
      </w:r>
    </w:p>
    <w:p>
      <w:pPr>
        <w:pStyle w:val="null3"/>
        <w:outlineLvl w:val="3"/>
      </w:pPr>
      <w:r>
        <w:rPr>
          <w:b/>
          <w:sz w:val="24"/>
        </w:rPr>
        <w:t>采购监督机构：</w:t>
      </w:r>
      <w:r>
        <w:rPr>
          <w:b/>
          <w:sz w:val="24"/>
        </w:rPr>
        <w:t>鄠邑区政府采购管理股</w:t>
      </w:r>
    </w:p>
    <w:p>
      <w:pPr>
        <w:pStyle w:val="null3"/>
        <w:ind w:firstLine="480"/>
      </w:pPr>
      <w:r>
        <w:rPr/>
        <w:t>联系人：</w:t>
      </w:r>
      <w:r>
        <w:rPr/>
        <w:t>李清维</w:t>
      </w:r>
    </w:p>
    <w:p>
      <w:pPr>
        <w:pStyle w:val="null3"/>
        <w:ind w:firstLine="480"/>
      </w:pPr>
      <w:r>
        <w:rPr/>
        <w:t>联系电话：</w:t>
      </w:r>
      <w:r>
        <w:rPr/>
        <w:t>84882872</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60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代理服务费收费标准：依据《国家计委关于印发&lt;招标代理服务收费管理暂行办法&gt;的通知》（计价格【2002】1980号）标准下浮10%收取。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西安市鄠邑秦岭生态环境保护和综合执法局（区林业局）</w:t>
      </w:r>
      <w:r>
        <w:rPr/>
        <w:t>和</w:t>
      </w:r>
      <w:r>
        <w:rPr/>
        <w:t>陕西海佳项目管理有限公司</w:t>
      </w:r>
      <w:r>
        <w:rPr/>
        <w:t>享有。对磋商文件中供应商参加本次政府采购活动应当具备的条件，磋商项目技术、服务、商务及其他要求，评审细则及标准由</w:t>
      </w:r>
      <w:r>
        <w:rPr/>
        <w:t>西安市鄠邑秦岭生态环境保护和综合执法局（区林业局）</w:t>
      </w:r>
      <w:r>
        <w:rPr/>
        <w:t>负责解释。除上述磋商文件内容，其他内容由</w:t>
      </w:r>
      <w:r>
        <w:rPr/>
        <w:t>陕西海佳项目管理有限公司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西安市鄠邑秦岭生态环境保护和综合执法局（区林业局）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陕西海佳项目管理有限公司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符合陕西省林草湿综合监测、森林督查验收标准</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陕西海佳项目管理有限公司</w:t>
      </w:r>
      <w:r>
        <w:rPr/>
        <w:t xml:space="preserve"> 负责答复；供应商对除采购需求外的采购文件的询问、质疑由</w:t>
      </w:r>
      <w:r>
        <w:rPr/>
        <w:t>陕西海佳项目管理有限公司</w:t>
      </w:r>
      <w:r>
        <w:rPr/>
        <w:t xml:space="preserve"> 负责答复；供应商对采购过程、采购结果的询问、质疑由 </w:t>
      </w:r>
      <w:r>
        <w:rPr/>
        <w:t>陕西海佳项目管理有限公司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联系人：姚博怀</w:t>
      </w:r>
    </w:p>
    <w:p>
      <w:pPr>
        <w:pStyle w:val="null3"/>
      </w:pPr>
      <w:r>
        <w:rPr/>
        <w:t>联系电话：02988765319</w:t>
      </w:r>
    </w:p>
    <w:p>
      <w:pPr>
        <w:pStyle w:val="null3"/>
      </w:pPr>
      <w:r>
        <w:rPr/>
        <w:t>地址：陕西省西安市雁塔区西安市高新区唐延路35号旺座现代城C座2602-2604室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按照国家林业和草原局的统一安排及省市林业局要求，在自然资源统一调查监测体系框架下，以国土变更调查成果为底图，在林地、草地、湿地的二级地类基础上统一制作林草湿调查监测底图，开展年度调查监测，掌握全市森林、草原、湿地资源现状和变化情况，科学评价森林、草原、湿地资源质量和生态状况，同步支撑林地年度变更调查,为科学开展森林、草原、湿地生态系统保护修复、监督管理、林长制督查考核、实施碳达峰碳中和战略、实现林业草原国家公园“三位一体”高质量融合发展等提供决策支撑，为切实履行统一行使全民所有自然资源资产所有者职责、统一行使所有国土空间用途管制和生态保护修复职责提供服务保障，为生态文明建设目标评价考核提供科学依据。</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400000</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标的名称：400000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b/>
                <w:sz w:val="24"/>
              </w:rPr>
              <w:t>一、项目概况</w:t>
            </w:r>
          </w:p>
          <w:p>
            <w:pPr>
              <w:pStyle w:val="null3"/>
              <w:ind w:firstLine="480"/>
              <w:jc w:val="both"/>
            </w:pPr>
            <w:r>
              <w:rPr>
                <w:rFonts w:ascii="宋体" w:hAnsi="宋体" w:cs="宋体" w:eastAsia="宋体"/>
                <w:color w:val="000000"/>
                <w:sz w:val="24"/>
              </w:rPr>
              <w:t>按照国家林业和草原局的统一安排及省市林业局要求，</w:t>
            </w:r>
            <w:r>
              <w:rPr>
                <w:rFonts w:ascii="宋体" w:hAnsi="宋体" w:cs="宋体" w:eastAsia="宋体"/>
                <w:sz w:val="24"/>
              </w:rPr>
              <w:t>在自然资源统一调查监测体系框架下，以国土变更调查成果为底图，在林地、草地、湿地的二级地类基础上统一制作林草湿调查监测底图，开展年度调查监测，掌握全市森林、草原、湿地资源现状和变化情况，科学评价森林、草原、湿地资源质量和生态状况，同步支撑林地年度变更调查,为科学开展森林、草原、湿地生态系统保护修复、监督管理、林长制督查考核、实施碳达峰碳中和战略、实现林业草原国家公园“三位一体”高质量融合发展等提供决策支撑，为切实履行统一行使全民所有自然资源资产所有者职责、统一行使所有国土空间用途管制和生态保护修复职责提供服务保障，为生态文明建设目标评价考核提供科学依据。</w:t>
            </w:r>
          </w:p>
          <w:p>
            <w:pPr>
              <w:pStyle w:val="null3"/>
            </w:pPr>
            <w:r>
              <w:rPr>
                <w:rFonts w:ascii="宋体" w:hAnsi="宋体" w:cs="宋体" w:eastAsia="宋体"/>
                <w:b/>
                <w:sz w:val="24"/>
              </w:rPr>
              <w:t>二、服务内容</w:t>
            </w:r>
          </w:p>
          <w:p>
            <w:pPr>
              <w:pStyle w:val="null3"/>
              <w:ind w:firstLine="480"/>
              <w:jc w:val="both"/>
            </w:pPr>
            <w:r>
              <w:rPr>
                <w:rFonts w:ascii="宋体" w:hAnsi="宋体" w:cs="宋体" w:eastAsia="宋体"/>
                <w:sz w:val="24"/>
              </w:rPr>
              <w:t>1</w:t>
            </w:r>
            <w:r>
              <w:rPr>
                <w:rFonts w:ascii="宋体" w:hAnsi="宋体" w:cs="宋体" w:eastAsia="宋体"/>
                <w:sz w:val="24"/>
              </w:rPr>
              <w:t>、工作内容</w:t>
            </w:r>
          </w:p>
          <w:p>
            <w:pPr>
              <w:pStyle w:val="null3"/>
              <w:ind w:firstLine="480"/>
              <w:jc w:val="both"/>
            </w:pPr>
            <w:r>
              <w:rPr>
                <w:rFonts w:ascii="宋体" w:hAnsi="宋体" w:cs="宋体" w:eastAsia="宋体"/>
                <w:sz w:val="24"/>
              </w:rPr>
              <w:t>（1）图斑监测。</w:t>
            </w:r>
            <w:r>
              <w:rPr>
                <w:rFonts w:ascii="宋体" w:hAnsi="宋体" w:cs="宋体" w:eastAsia="宋体"/>
                <w:sz w:val="24"/>
              </w:rPr>
              <w:t>开展图斑监测，包括图斑遥感判读、验证核实、数据更新，获取森林、草原、湿地种类、数量、分布现状及其变化数据。</w:t>
            </w:r>
          </w:p>
          <w:p>
            <w:pPr>
              <w:pStyle w:val="null3"/>
              <w:ind w:firstLine="480"/>
              <w:jc w:val="both"/>
            </w:pPr>
            <w:r>
              <w:rPr>
                <w:rFonts w:ascii="宋体" w:hAnsi="宋体" w:cs="宋体" w:eastAsia="宋体"/>
                <w:sz w:val="24"/>
              </w:rPr>
              <w:t>（2）样地调查。</w:t>
            </w:r>
            <w:r>
              <w:rPr>
                <w:rFonts w:ascii="宋体" w:hAnsi="宋体" w:cs="宋体" w:eastAsia="宋体"/>
                <w:sz w:val="24"/>
              </w:rPr>
              <w:t>构建林草湿调查监测统一抽样框架，开展样地调查，包括样地判读、样地测设、因子调查、样地所在图斑信息核实等，获取森林、草原、湿地资源的储量、质量、结构及其变化数据。</w:t>
            </w:r>
          </w:p>
          <w:p>
            <w:pPr>
              <w:pStyle w:val="null3"/>
              <w:ind w:firstLine="480"/>
              <w:jc w:val="both"/>
            </w:pPr>
            <w:r>
              <w:rPr>
                <w:rFonts w:ascii="宋体" w:hAnsi="宋体" w:cs="宋体" w:eastAsia="宋体"/>
                <w:sz w:val="24"/>
              </w:rPr>
              <w:t>（3）质量管控。</w:t>
            </w:r>
            <w:r>
              <w:rPr>
                <w:rFonts w:ascii="宋体" w:hAnsi="宋体" w:cs="宋体" w:eastAsia="宋体"/>
                <w:sz w:val="24"/>
              </w:rPr>
              <w:t>按照质量管理要求，明确质量责任主体，开展分阶段、分层级质量检查，前一阶段调查监测结果检查合格后方可开展下一阶段工作，实现全程质量控制。</w:t>
            </w:r>
          </w:p>
          <w:p>
            <w:pPr>
              <w:pStyle w:val="null3"/>
              <w:ind w:left="105" w:firstLine="360"/>
              <w:jc w:val="both"/>
            </w:pPr>
            <w:r>
              <w:rPr>
                <w:rFonts w:ascii="宋体" w:hAnsi="宋体" w:cs="宋体" w:eastAsia="宋体"/>
                <w:sz w:val="24"/>
              </w:rPr>
              <w:t>（4）数据库建设。</w:t>
            </w:r>
            <w:r>
              <w:rPr>
                <w:rFonts w:ascii="宋体" w:hAnsi="宋体" w:cs="宋体" w:eastAsia="宋体"/>
                <w:sz w:val="24"/>
              </w:rPr>
              <w:t>在完善林地、草地、湿地图斑监测和样地调查数据采集、处理、分析工具软件管理平台的基础上，建立调查监测数据库。</w:t>
            </w:r>
          </w:p>
          <w:p>
            <w:pPr>
              <w:pStyle w:val="null3"/>
              <w:ind w:firstLine="480"/>
              <w:jc w:val="both"/>
            </w:pPr>
            <w:r>
              <w:rPr>
                <w:rFonts w:ascii="宋体" w:hAnsi="宋体" w:cs="宋体" w:eastAsia="宋体"/>
                <w:sz w:val="24"/>
              </w:rPr>
              <w:t>（5）统计分析。</w:t>
            </w:r>
            <w:r>
              <w:rPr>
                <w:rFonts w:ascii="宋体" w:hAnsi="宋体" w:cs="宋体" w:eastAsia="宋体"/>
                <w:sz w:val="24"/>
              </w:rPr>
              <w:t>开展统计分析，产出森林、草原、湿地现状、动态和评价数据，统计各县、区森林面积、森林覆盖率、森林蓄积量、草原综合植被盖度等总量数据，以及森林、草原、湿地资源的质量、结构、生态状况等方面的指标数据，编制林草湿调查监测报告。</w:t>
            </w:r>
          </w:p>
          <w:p>
            <w:pPr>
              <w:pStyle w:val="null3"/>
              <w:ind w:firstLine="480"/>
              <w:jc w:val="both"/>
            </w:pPr>
            <w:r>
              <w:rPr>
                <w:rFonts w:ascii="宋体" w:hAnsi="宋体" w:cs="宋体" w:eastAsia="宋体"/>
                <w:sz w:val="24"/>
              </w:rPr>
              <w:t>2</w:t>
            </w:r>
            <w:r>
              <w:rPr>
                <w:rFonts w:ascii="宋体" w:hAnsi="宋体" w:cs="宋体" w:eastAsia="宋体"/>
                <w:sz w:val="24"/>
              </w:rPr>
              <w:t>、成果主要包括：数据库、统计表、图件、成果报告等。</w:t>
            </w:r>
          </w:p>
          <w:p>
            <w:pPr>
              <w:pStyle w:val="null3"/>
              <w:ind w:firstLine="480"/>
              <w:jc w:val="both"/>
            </w:pPr>
            <w:r>
              <w:rPr>
                <w:rFonts w:ascii="宋体" w:hAnsi="宋体" w:cs="宋体" w:eastAsia="宋体"/>
                <w:sz w:val="24"/>
              </w:rPr>
              <w:t>（1）数据库。</w:t>
            </w:r>
            <w:r>
              <w:rPr>
                <w:rFonts w:ascii="宋体" w:hAnsi="宋体" w:cs="宋体" w:eastAsia="宋体"/>
                <w:sz w:val="24"/>
              </w:rPr>
              <w:t>包括林草湿图斑监测数据库、林草湿样地（样方）调查数据库、林草湿调查监测基础支撑数据库。</w:t>
            </w:r>
          </w:p>
          <w:p>
            <w:pPr>
              <w:pStyle w:val="null3"/>
              <w:ind w:firstLine="480"/>
              <w:jc w:val="both"/>
            </w:pPr>
            <w:r>
              <w:rPr>
                <w:rFonts w:ascii="宋体" w:hAnsi="宋体" w:cs="宋体" w:eastAsia="宋体"/>
                <w:sz w:val="24"/>
              </w:rPr>
              <w:t>（2）实地举证成果。</w:t>
            </w:r>
            <w:r>
              <w:rPr>
                <w:rFonts w:ascii="宋体" w:hAnsi="宋体" w:cs="宋体" w:eastAsia="宋体"/>
                <w:sz w:val="24"/>
              </w:rPr>
              <w:t>在外业调查时，通过现地验证形成的实地举证成果。</w:t>
            </w:r>
          </w:p>
          <w:p>
            <w:pPr>
              <w:pStyle w:val="null3"/>
              <w:ind w:firstLine="480"/>
              <w:jc w:val="both"/>
            </w:pPr>
            <w:r>
              <w:rPr>
                <w:rFonts w:ascii="宋体" w:hAnsi="宋体" w:cs="宋体" w:eastAsia="宋体"/>
                <w:sz w:val="24"/>
              </w:rPr>
              <w:t>（3）统计表。</w:t>
            </w:r>
            <w:r>
              <w:rPr>
                <w:rFonts w:ascii="宋体" w:hAnsi="宋体" w:cs="宋体" w:eastAsia="宋体"/>
                <w:sz w:val="24"/>
              </w:rPr>
              <w:t>包括林草湿资源统计表、生态评价统计表、重点区域统计表。</w:t>
            </w:r>
          </w:p>
          <w:p>
            <w:pPr>
              <w:pStyle w:val="null3"/>
              <w:ind w:firstLine="480"/>
              <w:jc w:val="both"/>
            </w:pPr>
            <w:r>
              <w:rPr>
                <w:rFonts w:ascii="宋体" w:hAnsi="宋体" w:cs="宋体" w:eastAsia="宋体"/>
                <w:sz w:val="24"/>
              </w:rPr>
              <w:t>（4）图件。</w:t>
            </w:r>
            <w:r>
              <w:rPr>
                <w:rFonts w:ascii="宋体" w:hAnsi="宋体" w:cs="宋体" w:eastAsia="宋体"/>
                <w:sz w:val="24"/>
              </w:rPr>
              <w:t>包括资源现状图、专题分析图、生态评价图。</w:t>
            </w:r>
          </w:p>
          <w:p>
            <w:pPr>
              <w:pStyle w:val="null3"/>
            </w:pPr>
            <w:r>
              <w:rPr>
                <w:rFonts w:ascii="宋体" w:hAnsi="宋体" w:cs="宋体" w:eastAsia="宋体"/>
                <w:sz w:val="24"/>
              </w:rPr>
              <w:t xml:space="preserve">   （5）报告。</w:t>
            </w:r>
            <w:r>
              <w:rPr>
                <w:rFonts w:ascii="宋体" w:hAnsi="宋体" w:cs="宋体" w:eastAsia="宋体"/>
                <w:sz w:val="24"/>
              </w:rPr>
              <w:t>包括林草湿调查监测及生态状况年度报告及各林草湿调查主要结果。</w:t>
            </w:r>
          </w:p>
        </w:tc>
      </w:tr>
    </w:tbl>
    <w:p>
      <w:pPr>
        <w:pStyle w:val="null3"/>
        <w:outlineLvl w:val="2"/>
      </w:pPr>
      <w:r>
        <w:rPr>
          <w:b/>
          <w:sz w:val="28"/>
        </w:rPr>
        <w:t>3.2.3人员配置要求</w:t>
      </w:r>
    </w:p>
    <w:p>
      <w:pPr>
        <w:pStyle w:val="null3"/>
      </w:pPr>
      <w:r>
        <w:rPr/>
        <w:t>采购包1：</w:t>
      </w:r>
    </w:p>
    <w:p>
      <w:pPr>
        <w:pStyle w:val="null3"/>
      </w:pPr>
      <w:r>
        <w:rPr/>
        <w:t>满足项目要求，供应商根据单位自身及项目实际情况自主配置。</w:t>
      </w:r>
    </w:p>
    <w:p>
      <w:pPr>
        <w:pStyle w:val="null3"/>
        <w:outlineLvl w:val="2"/>
      </w:pPr>
      <w:r>
        <w:rPr>
          <w:b/>
          <w:sz w:val="28"/>
        </w:rPr>
        <w:t>3.2.4设施设备要求</w:t>
      </w:r>
    </w:p>
    <w:p>
      <w:pPr>
        <w:pStyle w:val="null3"/>
      </w:pPr>
      <w:r>
        <w:rPr/>
        <w:t>采购包1：</w:t>
      </w:r>
    </w:p>
    <w:p>
      <w:pPr>
        <w:pStyle w:val="null3"/>
      </w:pPr>
      <w:r>
        <w:rPr/>
        <w:t>满足项目要求，供应商根据单位自身及项目实际情况自主配置。</w:t>
      </w:r>
    </w:p>
    <w:p>
      <w:pPr>
        <w:pStyle w:val="null3"/>
        <w:outlineLvl w:val="2"/>
      </w:pPr>
      <w:r>
        <w:rPr>
          <w:b/>
          <w:sz w:val="28"/>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截止2024年12月31日</w:t>
      </w:r>
    </w:p>
    <w:p>
      <w:pPr>
        <w:pStyle w:val="null3"/>
        <w:outlineLvl w:val="3"/>
      </w:pPr>
      <w:r>
        <w:rPr>
          <w:b/>
          <w:sz w:val="24"/>
        </w:rPr>
        <w:t>3.3.2服务地点</w:t>
      </w:r>
    </w:p>
    <w:p>
      <w:pPr>
        <w:pStyle w:val="null3"/>
      </w:pPr>
      <w:r>
        <w:rPr/>
        <w:t>采购包1：</w:t>
      </w:r>
    </w:p>
    <w:p>
      <w:pPr>
        <w:pStyle w:val="null3"/>
      </w:pPr>
      <w:r>
        <w:rPr/>
        <w:t>西安市鄠邑区</w:t>
      </w:r>
    </w:p>
    <w:p>
      <w:pPr>
        <w:pStyle w:val="null3"/>
        <w:outlineLvl w:val="3"/>
      </w:pPr>
      <w:r>
        <w:rPr>
          <w:b/>
          <w:sz w:val="24"/>
        </w:rPr>
        <w:t>3.3.3考核（验收）标准和方法</w:t>
      </w:r>
    </w:p>
    <w:p>
      <w:pPr>
        <w:pStyle w:val="null3"/>
      </w:pPr>
      <w:r>
        <w:rPr/>
        <w:t>采购包1：</w:t>
      </w:r>
    </w:p>
    <w:p>
      <w:pPr>
        <w:pStyle w:val="null3"/>
      </w:pPr>
      <w:r>
        <w:rPr/>
        <w:t>符合陕西省林草湿综合监测、森林督查验收标准</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合同签订，完成第一季度任务后</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完成第二季度任务后</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完成第三季度任务</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完成合同项下全部任务之后</w:t>
      </w:r>
      <w:r>
        <w:rPr/>
        <w:t xml:space="preserve"> ，达到付款条件起 </w:t>
      </w:r>
      <w:r>
        <w:rPr/>
        <w:t>30</w:t>
      </w:r>
      <w:r>
        <w:rPr/>
        <w:t xml:space="preserve"> 日内，支付合同总金额的 </w:t>
      </w:r>
      <w:r>
        <w:rPr/>
        <w:t>25.00</w:t>
      </w:r>
      <w:r>
        <w:rPr/>
        <w:t>%。</w:t>
      </w:r>
    </w:p>
    <w:p>
      <w:pPr>
        <w:pStyle w:val="null3"/>
        <w:outlineLvl w:val="3"/>
      </w:pPr>
      <w:r>
        <w:rPr>
          <w:b/>
          <w:sz w:val="24"/>
        </w:rPr>
        <w:t>3.3.6违约责任及解决争议的方法</w:t>
      </w:r>
    </w:p>
    <w:p>
      <w:pPr>
        <w:pStyle w:val="null3"/>
      </w:pPr>
      <w:r>
        <w:rPr/>
        <w:t>采购包1：</w:t>
      </w:r>
    </w:p>
    <w:p>
      <w:pPr>
        <w:pStyle w:val="null3"/>
      </w:pPr>
      <w:r>
        <w:rPr/>
        <w:t>按照磋商文件及合同要求执行</w:t>
      </w:r>
    </w:p>
    <w:p>
      <w:pPr>
        <w:pStyle w:val="null3"/>
        <w:outlineLvl w:val="2"/>
      </w:pPr>
      <w:r>
        <w:rPr>
          <w:b/>
          <w:sz w:val="28"/>
        </w:rPr>
        <w:t>3.4其他要求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 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 相关资格证明材料</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独立承担民事责任的能力</w:t>
            </w:r>
          </w:p>
        </w:tc>
        <w:tc>
          <w:tcPr>
            <w:tcW w:type="dxa" w:w="3322"/>
          </w:tcPr>
          <w:p>
            <w:pPr>
              <w:pStyle w:val="null3"/>
            </w:pPr>
            <w:r>
              <w:rPr/>
              <w:t>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2</w:t>
            </w:r>
          </w:p>
        </w:tc>
        <w:tc>
          <w:tcPr>
            <w:tcW w:type="dxa" w:w="2492"/>
          </w:tcPr>
          <w:p>
            <w:pPr>
              <w:pStyle w:val="null3"/>
            </w:pPr>
            <w:r>
              <w:rPr/>
              <w:t>良好的商业信誉和健全的财务会计制度</w:t>
            </w:r>
          </w:p>
        </w:tc>
        <w:tc>
          <w:tcPr>
            <w:tcW w:type="dxa" w:w="3322"/>
          </w:tcPr>
          <w:p>
            <w:pPr>
              <w:pStyle w:val="null3"/>
            </w:pPr>
            <w:r>
              <w:rPr/>
              <w:t>2023年度经审计的财务报告或在2023年9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3</w:t>
            </w:r>
          </w:p>
        </w:tc>
        <w:tc>
          <w:tcPr>
            <w:tcW w:type="dxa" w:w="2492"/>
          </w:tcPr>
          <w:p>
            <w:pPr>
              <w:pStyle w:val="null3"/>
            </w:pPr>
            <w:r>
              <w:rPr/>
              <w:t>有依法缴纳税收和社会保障资金的良好记录</w:t>
            </w:r>
          </w:p>
        </w:tc>
        <w:tc>
          <w:tcPr>
            <w:tcW w:type="dxa" w:w="3322"/>
          </w:tcPr>
          <w:p>
            <w:pPr>
              <w:pStyle w:val="null3"/>
            </w:pPr>
            <w:r>
              <w:rPr/>
              <w:t>提供2023年9月1日至今任意时段的缴纳证明，依法免税或不需要缴纳社会保障资金的投标人须提供相应证明文件，事业单位法人可不提供社会保障资金缴纳证明，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4</w:t>
            </w:r>
          </w:p>
        </w:tc>
        <w:tc>
          <w:tcPr>
            <w:tcW w:type="dxa" w:w="2492"/>
          </w:tcPr>
          <w:p>
            <w:pPr>
              <w:pStyle w:val="null3"/>
            </w:pPr>
            <w:r>
              <w:rPr/>
              <w:t>书面声明</w:t>
            </w:r>
          </w:p>
        </w:tc>
        <w:tc>
          <w:tcPr>
            <w:tcW w:type="dxa" w:w="3322"/>
          </w:tcPr>
          <w:p>
            <w:pPr>
              <w:pStyle w:val="null3"/>
            </w:pPr>
            <w:r>
              <w:rPr/>
              <w:t>（1）参加本次政府采购活动前三年内在经营活动中没有重大违纪，以及未被列入失信被执行人、重大税收违法失信主体、政府采购严重违法失信行为记录名单的书面声明；（2）提供具有履行本合同所必需的设备和专业技术能力的声明；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5</w:t>
            </w:r>
          </w:p>
        </w:tc>
        <w:tc>
          <w:tcPr>
            <w:tcW w:type="dxa" w:w="2492"/>
          </w:tcPr>
          <w:p>
            <w:pPr>
              <w:pStyle w:val="null3"/>
            </w:pPr>
            <w:r>
              <w:rPr/>
              <w:t>法律、行政法规规定的其他条件</w:t>
            </w:r>
          </w:p>
        </w:tc>
        <w:tc>
          <w:tcPr>
            <w:tcW w:type="dxa" w:w="3322"/>
          </w:tcPr>
          <w:p>
            <w:pPr>
              <w:pStyle w:val="null3"/>
            </w:pPr>
            <w:r>
              <w:rPr/>
              <w:t>（1）法定代表人直接参加投标的，须提供法定代表人身份证明；法定代表人授权代表参加投标的，须提供法定代表人授权委托书；供应商需在项目电子化交易系统中按要求上传相应证明文件并进行电子签章。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6</w:t>
            </w:r>
          </w:p>
        </w:tc>
        <w:tc>
          <w:tcPr>
            <w:tcW w:type="dxa" w:w="2492"/>
          </w:tcPr>
          <w:p>
            <w:pPr>
              <w:pStyle w:val="null3"/>
            </w:pPr>
            <w:r>
              <w:rPr/>
              <w:t>供应商企业关系关联及联合体说明</w:t>
            </w:r>
          </w:p>
        </w:tc>
        <w:tc>
          <w:tcPr>
            <w:tcW w:type="dxa" w:w="3322"/>
          </w:tcPr>
          <w:p>
            <w:pPr>
              <w:pStyle w:val="null3"/>
            </w:pPr>
            <w:r>
              <w:rPr/>
              <w:t>1.本项目不接受联合体磋商； 2.单位负责人为同一人或者存在直接控股、管理关系的不同供应商，不得参加同一合同项下的政府采购活动； 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7</w:t>
            </w:r>
          </w:p>
        </w:tc>
        <w:tc>
          <w:tcPr>
            <w:tcW w:type="dxa" w:w="2492"/>
          </w:tcPr>
          <w:p>
            <w:pPr>
              <w:pStyle w:val="null3"/>
            </w:pPr>
            <w:r>
              <w:rPr/>
              <w:t>本项目专门面向小微企业</w:t>
            </w:r>
          </w:p>
        </w:tc>
        <w:tc>
          <w:tcPr>
            <w:tcW w:type="dxa" w:w="3322"/>
          </w:tcPr>
          <w:p>
            <w:pPr>
              <w:pStyle w:val="null3"/>
            </w:pPr>
            <w:r>
              <w:rPr/>
              <w:t>供应商提供小微企业或监狱企业或残疾人福利单位的声明函。</w:t>
            </w:r>
          </w:p>
        </w:tc>
        <w:tc>
          <w:tcPr>
            <w:tcW w:type="dxa" w:w="1661"/>
          </w:tcPr>
          <w:p>
            <w:pPr>
              <w:pStyle w:val="null3"/>
            </w:pPr>
            <w:r>
              <w:rPr/>
              <w:t>中小企业声明函 残疾人福利性单位声明函 监狱企业的证明文件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根据供应商对项目背景、及实施目标的理解情况赋分。 对项目有较深入的分析，能准确把握项目背景和建设目标的，得3-5分； 对项目有一定理解，能基本清楚项目建设目标的，得 0-3分。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服务方案响应格式</w:t>
            </w:r>
          </w:p>
          <w:p>
            <w:pPr>
              <w:pStyle w:val="null3"/>
            </w:pPr>
            <w:r>
              <w:rPr/>
              <w:t>服务内容及服务邀请应答表</w:t>
            </w:r>
          </w:p>
        </w:tc>
      </w:tr>
      <w:tr>
        <w:tc>
          <w:tcPr>
            <w:tcW w:type="dxa" w:w="831"/>
            <w:vMerge/>
          </w:tcPr>
          <w:p/>
        </w:tc>
        <w:tc>
          <w:tcPr>
            <w:tcW w:type="dxa" w:w="1661"/>
          </w:tcPr>
          <w:p>
            <w:pPr>
              <w:pStyle w:val="null3"/>
            </w:pPr>
            <w:r>
              <w:rPr/>
              <w:t>总体服务方案</w:t>
            </w:r>
          </w:p>
        </w:tc>
        <w:tc>
          <w:tcPr>
            <w:tcW w:type="dxa" w:w="2492"/>
          </w:tcPr>
          <w:p>
            <w:pPr>
              <w:pStyle w:val="null3"/>
            </w:pPr>
            <w:r>
              <w:rPr/>
              <w:t>1.整体服务方案的完整性横向对比。内容完整且无遗漏得3-5分，基本完整结构合理得2-3分，内容不够完整得0-2分 2.整体服务方案的合理性横向对比。思路清晰、合理，完善得3-5分，基本合理得2-3分，内容不够完善得0-2分 3.整体服务方案的可行性横向对比。可行、对项目实施具有较强的指导作用得3-5分， 思路基本清晰、具有一定的合理性和可行性2-3分，方案思路不清晰、合理性和可行性较差得0-2分。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服务方案响应格式</w:t>
            </w:r>
          </w:p>
          <w:p>
            <w:pPr>
              <w:pStyle w:val="null3"/>
            </w:pPr>
            <w:r>
              <w:rPr/>
              <w:t>商务应答表</w:t>
            </w:r>
          </w:p>
        </w:tc>
      </w:tr>
      <w:tr>
        <w:tc>
          <w:tcPr>
            <w:tcW w:type="dxa" w:w="831"/>
            <w:vMerge/>
          </w:tcPr>
          <w:p/>
        </w:tc>
        <w:tc>
          <w:tcPr>
            <w:tcW w:type="dxa" w:w="1661"/>
          </w:tcPr>
          <w:p>
            <w:pPr>
              <w:pStyle w:val="null3"/>
            </w:pPr>
            <w:r>
              <w:rPr/>
              <w:t>项目资料调研方案</w:t>
            </w:r>
          </w:p>
        </w:tc>
        <w:tc>
          <w:tcPr>
            <w:tcW w:type="dxa" w:w="2492"/>
          </w:tcPr>
          <w:p>
            <w:pPr>
              <w:pStyle w:val="null3"/>
            </w:pPr>
            <w:r>
              <w:rPr/>
              <w:t>项目资料调研方案，方案能对采购人提出的服务内容进行完整、合理地阐述，且对所有可能发生的情况具有深度的思考。 方案全面、具体、可行、科学合理，得3-5分； 方案较为合理、规范，得2-3分； 方案简单，得0-2分；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服务方案响应格式</w:t>
            </w:r>
          </w:p>
        </w:tc>
      </w:tr>
      <w:tr>
        <w:tc>
          <w:tcPr>
            <w:tcW w:type="dxa" w:w="831"/>
            <w:vMerge/>
          </w:tcPr>
          <w:p/>
        </w:tc>
        <w:tc>
          <w:tcPr>
            <w:tcW w:type="dxa" w:w="1661"/>
          </w:tcPr>
          <w:p>
            <w:pPr>
              <w:pStyle w:val="null3"/>
            </w:pPr>
            <w:r>
              <w:rPr/>
              <w:t>调研资料整理方案</w:t>
            </w:r>
          </w:p>
        </w:tc>
        <w:tc>
          <w:tcPr>
            <w:tcW w:type="dxa" w:w="2492"/>
          </w:tcPr>
          <w:p>
            <w:pPr>
              <w:pStyle w:val="null3"/>
            </w:pPr>
            <w:r>
              <w:rPr/>
              <w:t>调研资料整理方案总体思路清晰性、合理性、可操作性、可执行程度。 方案全面、具体、可行、科学合理，得3-5分； 方案较为合理、规范，得2-3分； 方案简单，得0-2分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服务方案响应格式</w:t>
            </w:r>
          </w:p>
        </w:tc>
      </w:tr>
      <w:tr>
        <w:tc>
          <w:tcPr>
            <w:tcW w:type="dxa" w:w="831"/>
            <w:vMerge/>
          </w:tcPr>
          <w:p/>
        </w:tc>
        <w:tc>
          <w:tcPr>
            <w:tcW w:type="dxa" w:w="1661"/>
          </w:tcPr>
          <w:p>
            <w:pPr>
              <w:pStyle w:val="null3"/>
            </w:pPr>
            <w:r>
              <w:rPr/>
              <w:t>报告编制审核方案</w:t>
            </w:r>
          </w:p>
        </w:tc>
        <w:tc>
          <w:tcPr>
            <w:tcW w:type="dxa" w:w="2492"/>
          </w:tcPr>
          <w:p>
            <w:pPr>
              <w:pStyle w:val="null3"/>
            </w:pPr>
            <w:r>
              <w:rPr/>
              <w:t>报告编制审核流程严谨，能充分体现供应商在审核工作流程上严谨，更好的协助采购人完成相关工作的能力。 方案全面、具体、可行、科学合理，得3-5分； 方案较为合理、规范，得2-3分； 方案简单，得0-2分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服务方案响应格式</w:t>
            </w:r>
          </w:p>
        </w:tc>
      </w:tr>
      <w:tr>
        <w:tc>
          <w:tcPr>
            <w:tcW w:type="dxa" w:w="831"/>
            <w:vMerge/>
          </w:tcPr>
          <w:p/>
        </w:tc>
        <w:tc>
          <w:tcPr>
            <w:tcW w:type="dxa" w:w="1661"/>
          </w:tcPr>
          <w:p>
            <w:pPr>
              <w:pStyle w:val="null3"/>
            </w:pPr>
            <w:r>
              <w:rPr/>
              <w:t>设备仪器配备情况</w:t>
            </w:r>
          </w:p>
        </w:tc>
        <w:tc>
          <w:tcPr>
            <w:tcW w:type="dxa" w:w="2492"/>
          </w:tcPr>
          <w:p>
            <w:pPr>
              <w:pStyle w:val="null3"/>
            </w:pPr>
            <w:r>
              <w:rPr/>
              <w:t>设备仪器配备数量合理、种类齐全得3-5分；设备仪器配备数量较合理、种类较齐全得2-3分；设备仪器配备数量及种类一般得0-2分。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服务方案响应格式</w:t>
            </w:r>
          </w:p>
          <w:p>
            <w:pPr>
              <w:pStyle w:val="null3"/>
            </w:pPr>
            <w:r>
              <w:rPr/>
              <w:t>商务应答表</w:t>
            </w:r>
          </w:p>
        </w:tc>
      </w:tr>
      <w:tr>
        <w:tc>
          <w:tcPr>
            <w:tcW w:type="dxa" w:w="831"/>
            <w:vMerge/>
          </w:tcPr>
          <w:p/>
        </w:tc>
        <w:tc>
          <w:tcPr>
            <w:tcW w:type="dxa" w:w="1661"/>
          </w:tcPr>
          <w:p>
            <w:pPr>
              <w:pStyle w:val="null3"/>
            </w:pPr>
            <w:r>
              <w:rPr/>
              <w:t>保密管理方案</w:t>
            </w:r>
          </w:p>
        </w:tc>
        <w:tc>
          <w:tcPr>
            <w:tcW w:type="dxa" w:w="2492"/>
          </w:tcPr>
          <w:p>
            <w:pPr>
              <w:pStyle w:val="null3"/>
            </w:pPr>
            <w:r>
              <w:rPr/>
              <w:t>资料的保密管理方案。 方案全面、具体、可行、科学合理，得3-5分； 方案较为合理、规范，得2-3分； 方案简单，得0-2分。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服务方案响应格式</w:t>
            </w:r>
          </w:p>
        </w:tc>
      </w:tr>
      <w:tr>
        <w:tc>
          <w:tcPr>
            <w:tcW w:type="dxa" w:w="831"/>
            <w:vMerge/>
          </w:tcPr>
          <w:p/>
        </w:tc>
        <w:tc>
          <w:tcPr>
            <w:tcW w:type="dxa" w:w="1661"/>
          </w:tcPr>
          <w:p>
            <w:pPr>
              <w:pStyle w:val="null3"/>
            </w:pPr>
            <w:r>
              <w:rPr/>
              <w:t>对项目实施过程中的重点、难点分析及解决方案</w:t>
            </w:r>
          </w:p>
        </w:tc>
        <w:tc>
          <w:tcPr>
            <w:tcW w:type="dxa" w:w="2492"/>
          </w:tcPr>
          <w:p>
            <w:pPr>
              <w:pStyle w:val="null3"/>
            </w:pPr>
            <w:r>
              <w:rPr/>
              <w:t>针对本项目的实际情况，提出有针对性的关键点分析及解决方案。 方案全面、具体、可行、科学合理，得3-5分； 方案较为合理、规范，得2-3分； 方案简单，得0-2分。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服务方案响应格式</w:t>
            </w:r>
          </w:p>
        </w:tc>
      </w:tr>
      <w:tr>
        <w:tc>
          <w:tcPr>
            <w:tcW w:type="dxa" w:w="831"/>
            <w:vMerge/>
          </w:tcPr>
          <w:p/>
        </w:tc>
        <w:tc>
          <w:tcPr>
            <w:tcW w:type="dxa" w:w="1661"/>
          </w:tcPr>
          <w:p>
            <w:pPr>
              <w:pStyle w:val="null3"/>
            </w:pPr>
            <w:r>
              <w:rPr/>
              <w:t>确保服务质量的技术组织措施</w:t>
            </w:r>
          </w:p>
        </w:tc>
        <w:tc>
          <w:tcPr>
            <w:tcW w:type="dxa" w:w="2492"/>
          </w:tcPr>
          <w:p>
            <w:pPr>
              <w:pStyle w:val="null3"/>
            </w:pPr>
            <w:r>
              <w:rPr/>
              <w:t>针对本项目有确保服务质量的技术组织措施。 措施内容科学可行，有针对性且内容丰富，得3-5分； 措施内容较为科学可行，有针对性，得2-3分； 措施内容简单，得0-2分。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服务方案响应格式</w:t>
            </w:r>
          </w:p>
        </w:tc>
      </w:tr>
      <w:tr>
        <w:tc>
          <w:tcPr>
            <w:tcW w:type="dxa" w:w="831"/>
            <w:vMerge/>
          </w:tcPr>
          <w:p/>
        </w:tc>
        <w:tc>
          <w:tcPr>
            <w:tcW w:type="dxa" w:w="1661"/>
          </w:tcPr>
          <w:p>
            <w:pPr>
              <w:pStyle w:val="null3"/>
            </w:pPr>
            <w:r>
              <w:rPr/>
              <w:t>确保服务期限的技术组织措施</w:t>
            </w:r>
          </w:p>
        </w:tc>
        <w:tc>
          <w:tcPr>
            <w:tcW w:type="dxa" w:w="2492"/>
          </w:tcPr>
          <w:p>
            <w:pPr>
              <w:pStyle w:val="null3"/>
            </w:pPr>
            <w:r>
              <w:rPr/>
              <w:t>针对本项目，有具体、可行的服务期限保证措施。 措施内容科学可行，有针对性且内容丰富，得3-5分； 措施内容较为科学可行，有针对性，得2-3分； 措施内容简单，得0-2分。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服务方案响应格式</w:t>
            </w:r>
          </w:p>
        </w:tc>
      </w:tr>
      <w:tr>
        <w:tc>
          <w:tcPr>
            <w:tcW w:type="dxa" w:w="831"/>
            <w:vMerge/>
          </w:tcPr>
          <w:p/>
        </w:tc>
        <w:tc>
          <w:tcPr>
            <w:tcW w:type="dxa" w:w="1661"/>
          </w:tcPr>
          <w:p>
            <w:pPr>
              <w:pStyle w:val="null3"/>
            </w:pPr>
            <w:r>
              <w:rPr/>
              <w:t>拟派项目负责人</w:t>
            </w:r>
          </w:p>
        </w:tc>
        <w:tc>
          <w:tcPr>
            <w:tcW w:type="dxa" w:w="2492"/>
          </w:tcPr>
          <w:p>
            <w:pPr>
              <w:pStyle w:val="null3"/>
            </w:pPr>
            <w:r>
              <w:rPr/>
              <w:t>1.拟派项目负责人具有本科及以上学历得5分，专科学历得3分，专科以下学历不得分。 2.具备高级职称证书得5分，中级职称得3分，其他不得分。 注：供应商需提供相关证书复印件加盖供应商公章。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项目负责人简历表</w:t>
            </w:r>
          </w:p>
        </w:tc>
      </w:tr>
      <w:tr>
        <w:tc>
          <w:tcPr>
            <w:tcW w:type="dxa" w:w="831"/>
            <w:vMerge/>
          </w:tcPr>
          <w:p/>
        </w:tc>
        <w:tc>
          <w:tcPr>
            <w:tcW w:type="dxa" w:w="1661"/>
          </w:tcPr>
          <w:p>
            <w:pPr>
              <w:pStyle w:val="null3"/>
            </w:pPr>
            <w:r>
              <w:rPr/>
              <w:t>拟派项目部组成人员</w:t>
            </w:r>
          </w:p>
        </w:tc>
        <w:tc>
          <w:tcPr>
            <w:tcW w:type="dxa" w:w="2492"/>
          </w:tcPr>
          <w:p>
            <w:pPr>
              <w:pStyle w:val="null3"/>
            </w:pPr>
            <w:r>
              <w:rPr/>
              <w:t>有针对本项目的服务团队、组织结构合理、岗位职责明确的技术人员（需提供详细人员名单及职称证书）。 项目组成员（不含项目负责人），具有中级及以上技术职称的，每人得2分，最高得10分。 注：提供证书证明材料复印件加盖供应商公章）。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项目组人员组成表</w:t>
            </w:r>
          </w:p>
          <w:p>
            <w:pPr>
              <w:pStyle w:val="null3"/>
            </w:pPr>
            <w:r>
              <w:rPr/>
              <w:t>服务内容及服务邀请应答表</w:t>
            </w:r>
          </w:p>
        </w:tc>
      </w:tr>
      <w:tr>
        <w:tc>
          <w:tcPr>
            <w:tcW w:type="dxa" w:w="831"/>
            <w:vMerge/>
          </w:tcPr>
          <w:p/>
        </w:tc>
        <w:tc>
          <w:tcPr>
            <w:tcW w:type="dxa" w:w="1661"/>
          </w:tcPr>
          <w:p>
            <w:pPr>
              <w:pStyle w:val="null3"/>
            </w:pPr>
            <w:r>
              <w:rPr/>
              <w:t>业绩</w:t>
            </w:r>
          </w:p>
        </w:tc>
        <w:tc>
          <w:tcPr>
            <w:tcW w:type="dxa" w:w="2492"/>
          </w:tcPr>
          <w:p>
            <w:pPr>
              <w:pStyle w:val="null3"/>
            </w:pPr>
            <w:r>
              <w:rPr/>
              <w:t>提供类似项目业绩。以合同签订日期为准，并以加盖供应商公章的合同关键页复印件为计分依据，每份合格业绩合同计2分，满分10分。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1.满足磋商文件实质性要求且最终报价最低的供应商的价格为磋商基准价，其价格分为满分10分。 2.磋商总报价得分=(磋商基准价／最终磋商总报价)×10 注：计算分数时四舍五入取小数点后两位；</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本项目授权磋商小组直接确认成交供应商，确认后代理机构在陕西省政府采购网上发布成交结果公告，同时向成交供应商发出成交通知书。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详见附件：项目负责人简历表</w:t>
      </w:r>
    </w:p>
    <w:p>
      <w:pPr>
        <w:pStyle w:val="null3"/>
        <w:ind w:firstLine="960"/>
      </w:pPr>
      <w:r>
        <w:rPr/>
        <w:t>详见附件：服务方案响应格式</w:t>
      </w:r>
    </w:p>
    <w:p>
      <w:pPr>
        <w:pStyle w:val="null3"/>
        <w:ind w:firstLine="960"/>
      </w:pPr>
      <w:r>
        <w:rPr/>
        <w:t>详见附件：项目组人员组成表</w:t>
      </w:r>
    </w:p>
    <w:p>
      <w:pPr>
        <w:pStyle w:val="null3"/>
        <w:ind w:firstLine="960"/>
      </w:pPr>
      <w:r>
        <w:rPr/>
        <w:t>详见附件：相关资格证明材料</w:t>
      </w:r>
    </w:p>
    <w:p>
      <w:pPr>
        <w:pStyle w:val="null3"/>
        <w:ind w:firstLine="960"/>
      </w:pPr>
      <w:r>
        <w:rPr/>
        <w:t>详见附件：业绩一览表</w:t>
      </w:r>
    </w:p>
    <w:p>
      <w:pPr>
        <w:pStyle w:val="null3"/>
      </w:pPr>
      <w:r>
        <w:rPr/>
        <w:t xml:space="preserve"> </w:t>
      </w:r>
    </w:p>
    <w:p>
      <w:pPr>
        <w:pStyle w:val="null3"/>
        <w:jc w:val="center"/>
        <w:outlineLvl w:val="1"/>
      </w:pPr>
      <w:r>
        <w:rPr>
          <w:b/>
          <w:sz w:val="36"/>
        </w:rPr>
        <w:t>第八章 拟签订采购合同文本</w:t>
      </w:r>
    </w:p>
    <w:p>
      <w:pPr>
        <w:pStyle w:val="null3"/>
      </w:pPr>
      <w:r>
        <w:rPr/>
        <w:t>详见附件：附件1草拟合同.docx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