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西安市鄠邑区防返贫监测预警平台[原西安市鄠邑区大数据平台2024年平台软件服务及配套项目]</w:t>
      </w:r>
    </w:p>
    <w:p>
      <w:pPr>
        <w:pStyle w:val="null3"/>
        <w:jc w:val="center"/>
        <w:outlineLvl w:val="5"/>
      </w:pPr>
      <w:r>
        <w:rPr>
          <w:b/>
          <w:sz w:val="15"/>
        </w:rPr>
        <w:t xml:space="preserve">采购项目编号: </w:t>
      </w:r>
      <w:r>
        <w:rPr>
          <w:b/>
          <w:sz w:val="15"/>
        </w:rPr>
        <w:t>XAHT-CG-2024-02</w:t>
      </w:r>
      <w:r>
        <w:br/>
      </w:r>
      <w:r>
        <w:br/>
      </w:r>
      <w:r>
        <w:br/>
      </w:r>
    </w:p>
    <w:p>
      <w:pPr>
        <w:pStyle w:val="null3"/>
        <w:jc w:val="center"/>
        <w:outlineLvl w:val="5"/>
      </w:pPr>
      <w:r>
        <w:rPr>
          <w:b/>
          <w:sz w:val="15"/>
        </w:rPr>
        <w:t>西安市鄠邑区扶贫信息监测中心</w:t>
      </w:r>
    </w:p>
    <w:p>
      <w:pPr>
        <w:pStyle w:val="null3"/>
        <w:jc w:val="center"/>
        <w:outlineLvl w:val="5"/>
      </w:pPr>
      <w:r>
        <w:rPr>
          <w:b/>
          <w:sz w:val="15"/>
        </w:rPr>
        <w:t>西安恒泰建设项目管理有限公司</w:t>
      </w:r>
      <w:r>
        <w:rPr>
          <w:b/>
          <w:sz w:val="15"/>
        </w:rPr>
        <w:t>共同编制</w:t>
      </w:r>
    </w:p>
    <w:p>
      <w:pPr>
        <w:pStyle w:val="null3"/>
        <w:jc w:val="center"/>
        <w:outlineLvl w:val="5"/>
      </w:pPr>
      <w:r>
        <w:rPr>
          <w:b/>
          <w:sz w:val="15"/>
        </w:rPr>
        <w:t>2024年05月08日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西安恒泰建设项目管理有限公司</w:t>
      </w:r>
      <w:r>
        <w:rPr/>
        <w:t>（以下简称“代理机构”）受</w:t>
      </w:r>
      <w:r>
        <w:rPr/>
        <w:t>西安市鄠邑区扶贫信息监测中心</w:t>
      </w:r>
      <w:r>
        <w:rPr/>
        <w:t>委托，拟对</w:t>
      </w:r>
      <w:r>
        <w:rPr/>
        <w:t>西安市鄠邑区防返贫监测预警平台[原西安市鄠邑区大数据平台2024年平台软件服务及配套项目]</w:t>
      </w:r>
      <w:r>
        <w:rPr/>
        <w:t>采用单一来源方式进行采购，现邀请贵公司参加该项目的协商。</w:t>
      </w:r>
    </w:p>
    <w:p>
      <w:pPr>
        <w:pStyle w:val="null3"/>
        <w:outlineLvl w:val="2"/>
      </w:pPr>
      <w:r>
        <w:rPr>
          <w:b/>
          <w:sz w:val="28"/>
        </w:rPr>
        <w:t xml:space="preserve"> 一、采购项目编号：</w:t>
      </w:r>
      <w:r>
        <w:rPr>
          <w:b/>
          <w:sz w:val="28"/>
        </w:rPr>
        <w:t>XAHT-CG-2024-02</w:t>
      </w:r>
    </w:p>
    <w:p>
      <w:pPr>
        <w:pStyle w:val="null3"/>
        <w:outlineLvl w:val="2"/>
      </w:pPr>
      <w:r>
        <w:rPr>
          <w:b/>
          <w:sz w:val="28"/>
        </w:rPr>
        <w:t xml:space="preserve"> 二、采购项目名称：</w:t>
      </w:r>
      <w:r>
        <w:rPr>
          <w:b/>
          <w:sz w:val="28"/>
        </w:rPr>
        <w:t>西安市鄠邑区防返贫监测预警平台[原西安市鄠邑区大数据平台2024年平台软件服务及配套项目]</w:t>
      </w:r>
    </w:p>
    <w:p>
      <w:pPr>
        <w:pStyle w:val="null3"/>
        <w:outlineLvl w:val="2"/>
      </w:pPr>
      <w:r>
        <w:rPr>
          <w:b/>
          <w:sz w:val="28"/>
        </w:rPr>
        <w:t>三、协商项目简介：</w:t>
      </w:r>
    </w:p>
    <w:p>
      <w:pPr>
        <w:pStyle w:val="null3"/>
        <w:ind w:firstLine="480"/>
      </w:pPr>
      <w:r>
        <w:rPr/>
        <w:t>西安市鄠邑区防返贫监测预警平台[原西安市鄠邑区大数据平台]2024年平台软件服务及配套项目，即防返贫监测预警大数据管理服务，为防返贫监测预警平台提供远程定期系统巡检，检查系统漏洞，系统更新升级、系统故障排除等，提供远程技术咨询服务，提供现场技术咨询、故障排除服务，在设备发生紧急故障的情况下，提出应急解决措施，保持24小时响应，由当地服务机构的技术人员立即赶往现场进行排除。确保平台日常运行的连续性、稳定性、可靠性。为了保障防返贫监测预警平台的正常运转，本次采购各项内容原厂提供维保服务支持。</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t>2、授权委托书： 法定代表人授权委托书（附法定代表人身份证复印件）及被授权委托人身份证（法定代表人参加磋商只须提供法定代表人身份证）</w:t>
      </w:r>
    </w:p>
    <w:p>
      <w:pPr>
        <w:pStyle w:val="null3"/>
      </w:pPr>
      <w:r>
        <w:rPr/>
        <w:t>3、财务状况：提供2021年度或2022年度或2023年度经审计的财务会计报告(包括审计报告、资产负债表、利润表，成立时间至提交投标文件截止时间不足一年的可提供成立后任意时段的资产负债表)，或其开标前三个月内基本存款账户开户银行出具的资信证明及基本存款账户开户许可证</w:t>
      </w:r>
    </w:p>
    <w:p>
      <w:pPr>
        <w:pStyle w:val="null3"/>
      </w:pPr>
      <w:r>
        <w:rPr/>
        <w:t>4、社保缴纳证明：提供提交响应文件截止时间前一年以来已缴存的至少一个月的社会保障资金缴存单据或社保机构开具的社会保险参保缴费情况证明和社会保险的相关证明材料；注：依法免税或不需要缴纳社会保险的供应商提供相关部门出具的证明文件</w:t>
      </w:r>
    </w:p>
    <w:p>
      <w:pPr>
        <w:pStyle w:val="null3"/>
      </w:pPr>
      <w:r>
        <w:rPr/>
        <w:t>5、税务状况：提供递交投标文件截止之日前一年内任意一个月的纳税证明或完税证明，纳税证明或完税证明上应有代收机构或税收机关的公章，依法免税的应提供相关证明材料</w:t>
      </w:r>
    </w:p>
    <w:p>
      <w:pPr>
        <w:pStyle w:val="null3"/>
      </w:pPr>
      <w:r>
        <w:rPr/>
        <w:t>6、履行合同所必需的专业技术能力的承诺：提供具有履行合同所必需的专业技术能力的承诺</w:t>
      </w:r>
    </w:p>
    <w:p>
      <w:pPr>
        <w:pStyle w:val="null3"/>
      </w:pPr>
      <w:r>
        <w:rPr/>
        <w:t>7、书面声明：参加本次政府采购活动前三年内在经营活动中没有重大违法记录、未被列入失信被执行人、重大税收违法案件当事人名单、政府采购严重违法失信行为记录名单的书面声明</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西安市鄠邑区扶贫信息监测中心</w:t>
      </w:r>
    </w:p>
    <w:p>
      <w:pPr>
        <w:pStyle w:val="null3"/>
      </w:pPr>
      <w:r>
        <w:rPr/>
        <w:t xml:space="preserve"> 地址： </w:t>
      </w:r>
      <w:r>
        <w:rPr/>
        <w:t>西安市鄠邑区新农投大厦</w:t>
      </w:r>
    </w:p>
    <w:p>
      <w:pPr>
        <w:pStyle w:val="null3"/>
      </w:pPr>
      <w:r>
        <w:rPr/>
        <w:t xml:space="preserve"> 邮编： </w:t>
      </w:r>
      <w:r>
        <w:rPr/>
        <w:t>710300</w:t>
      </w:r>
    </w:p>
    <w:p>
      <w:pPr>
        <w:pStyle w:val="null3"/>
      </w:pPr>
      <w:r>
        <w:rPr/>
        <w:t xml:space="preserve"> 联系人： </w:t>
      </w:r>
      <w:r>
        <w:rPr/>
        <w:t>西安市鄠邑区扶贫信息监测中心经办</w:t>
      </w:r>
    </w:p>
    <w:p>
      <w:pPr>
        <w:pStyle w:val="null3"/>
      </w:pPr>
      <w:r>
        <w:rPr/>
        <w:t xml:space="preserve"> 联系电话： </w:t>
      </w:r>
      <w:r>
        <w:rPr/>
        <w:t>13720655499</w:t>
      </w:r>
    </w:p>
    <w:p>
      <w:pPr>
        <w:pStyle w:val="null3"/>
        <w:outlineLvl w:val="2"/>
      </w:pPr>
      <w:r>
        <w:rPr>
          <w:b/>
          <w:sz w:val="28"/>
        </w:rPr>
        <w:t xml:space="preserve"> 代理机构：</w:t>
      </w:r>
      <w:r>
        <w:rPr>
          <w:b/>
          <w:sz w:val="28"/>
        </w:rPr>
        <w:t>西安恒泰建设项目管理有限公司</w:t>
      </w:r>
    </w:p>
    <w:p>
      <w:pPr>
        <w:pStyle w:val="null3"/>
      </w:pPr>
      <w:r>
        <w:rPr/>
        <w:t xml:space="preserve"> 地址： </w:t>
      </w:r>
      <w:r>
        <w:rPr/>
        <w:t>陕西省西安市鄠邑区西安市鄠邑区人民路御苑新城3号楼5楼</w:t>
      </w:r>
    </w:p>
    <w:p>
      <w:pPr>
        <w:pStyle w:val="null3"/>
      </w:pPr>
      <w:r>
        <w:rPr/>
        <w:t xml:space="preserve"> 邮编： </w:t>
      </w:r>
      <w:r>
        <w:rPr/>
        <w:t>710300</w:t>
      </w:r>
    </w:p>
    <w:p>
      <w:pPr>
        <w:pStyle w:val="null3"/>
      </w:pPr>
      <w:r>
        <w:rPr/>
        <w:t xml:space="preserve"> 联系人： </w:t>
      </w:r>
      <w:r>
        <w:rPr/>
        <w:t>董刚</w:t>
      </w:r>
    </w:p>
    <w:p>
      <w:pPr>
        <w:pStyle w:val="null3"/>
      </w:pPr>
      <w:r>
        <w:rPr/>
        <w:t xml:space="preserve"> 联系电话： </w:t>
      </w:r>
      <w:r>
        <w:rPr/>
        <w:t>15891786025</w:t>
      </w:r>
    </w:p>
    <w:p>
      <w:pPr>
        <w:pStyle w:val="null3"/>
        <w:outlineLvl w:val="2"/>
      </w:pPr>
      <w:r>
        <w:rPr>
          <w:b/>
          <w:sz w:val="28"/>
        </w:rPr>
        <w:t xml:space="preserve"> 采购监督机构：</w:t>
      </w:r>
      <w:r>
        <w:rPr>
          <w:b/>
          <w:sz w:val="28"/>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采购包1：699,000.00元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采购包1：699,000.00元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代理服务费收费标准：按成交价的1.5%计费；招标代理费由成交供应商在领取成交通知书书前一次性向受托代理方付清。</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西安市鄠邑区扶贫信息监测中心</w:t>
      </w:r>
      <w:r>
        <w:rPr/>
        <w:t>和</w:t>
      </w:r>
      <w:r>
        <w:rPr/>
        <w:t>西安恒泰建设项目管理有限公司</w:t>
      </w:r>
      <w:r>
        <w:rPr/>
        <w:t>享有。对采购文件中供应商参加本次政府采购活动应当具备的条件、项目技术、服务、商务及其他要求，评审标准由采购人负责解释。除前述采购文件内容，其他内容由</w:t>
      </w:r>
      <w:r>
        <w:rPr/>
        <w:t>西安恒泰建设项目管理有限公司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西安市鄠邑区扶贫信息监测中心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西安恒泰建设项目管理有限公司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系统运行正常</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西安恒泰建设项目管理有限公司</w:t>
      </w:r>
      <w:r>
        <w:rPr/>
        <w:t xml:space="preserve"> 负责答复；供应商对除采购需求外的采购文件的询问、质疑由</w:t>
      </w:r>
      <w:r>
        <w:rPr/>
        <w:t>西安恒泰建设项目管理有限公司</w:t>
      </w:r>
      <w:r>
        <w:rPr/>
        <w:t xml:space="preserve"> 负责答复；供应商对采购过程、采购结果的询问、质疑由 </w:t>
      </w:r>
      <w:r>
        <w:rPr/>
        <w:t>西安恒泰建设项目管理有限公司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防返贫监测预警大数据管理服务，为防返贫监测预警平台提供远程定期系统巡检，检查系统漏洞，系统更新升级、系统故障排除等，提供远程技术咨询服务，提供现场技术咨询、故障排除服务，在设备发生紧急故障的情况下，提出应急解决措施，保持24小时响应，由当地服务机构的技术人员立即赶往现场进行排除。确保平台日常运行的连续性、稳定性、可靠性。</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699,000.00</w:t>
      </w:r>
    </w:p>
    <w:p>
      <w:pPr>
        <w:pStyle w:val="null3"/>
      </w:pPr>
      <w:r>
        <w:rPr/>
        <w:t>采购包最高限价（元）: 699,000.00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1项</w:t>
            </w:r>
          </w:p>
        </w:tc>
        <w:tc>
          <w:tcPr>
            <w:tcW w:type="dxa" w:w="831"/>
          </w:tcPr>
          <w:p>
            <w:pPr>
              <w:pStyle w:val="null3"/>
              <w:jc w:val="right"/>
            </w:pPr>
            <w:r>
              <w:rPr/>
              <w:t>1.00</w:t>
            </w:r>
          </w:p>
        </w:tc>
        <w:tc>
          <w:tcPr>
            <w:tcW w:type="dxa" w:w="831"/>
          </w:tcPr>
          <w:p>
            <w:pPr>
              <w:pStyle w:val="null3"/>
              <w:jc w:val="right"/>
            </w:pPr>
            <w:r>
              <w:rPr/>
              <w:t>699,000.00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_gb2312" w:hAnsi="仿宋_gb2312" w:cs="仿宋_gb2312" w:eastAsia="仿宋_gb2312"/>
                <w:sz w:val="32"/>
              </w:rPr>
              <w:t>防返贫监测预警大数据管理服务，为防返贫监测预警平台提供远程定期系统巡检，检查系统漏洞，系统更新升级、系统故障排除等，提供远程技术咨询服务，提供现场技术咨询、故障排除服务，在设备发生紧急故障的情况下，提出应急解决措施，保持</w:t>
            </w:r>
            <w:r>
              <w:rPr>
                <w:rFonts w:ascii="仿宋_gb2312" w:hAnsi="仿宋_gb2312" w:cs="仿宋_gb2312" w:eastAsia="仿宋_gb2312"/>
                <w:sz w:val="32"/>
              </w:rPr>
              <w:t>24小时响应，由当地服务机构的技术人员立即赶往现场进行排除。确保平台日常运行的连续性、稳定性、可靠性。</w:t>
            </w:r>
          </w:p>
          <w:p>
            <w:pPr>
              <w:pStyle w:val="null3"/>
              <w:ind w:left="420"/>
              <w:jc w:val="left"/>
            </w:pPr>
            <w:r>
              <w:rPr>
                <w:rFonts w:ascii="仿宋_gb2312" w:hAnsi="仿宋_gb2312" w:cs="仿宋_gb2312" w:eastAsia="仿宋_gb2312"/>
                <w:b/>
                <w:sz w:val="32"/>
              </w:rPr>
              <w:t>(一）数据库软件维护：</w:t>
            </w:r>
            <w:r>
              <w:rPr>
                <w:rFonts w:ascii="仿宋_gb2312" w:hAnsi="仿宋_gb2312" w:cs="仿宋_gb2312" w:eastAsia="仿宋_gb2312"/>
                <w:sz w:val="32"/>
              </w:rPr>
              <w:t>1、提供包含户基本信息、村基本信息、镇级基本信息、县级基本信息、各行业厅局的数据、帮扶主体的数据，建造一个基础数据池，方便查看和其他模块的调用。</w:t>
            </w:r>
            <w:r>
              <w:rPr>
                <w:rFonts w:ascii="仿宋_gb2312" w:hAnsi="仿宋_gb2312" w:cs="仿宋_gb2312" w:eastAsia="仿宋_gb2312"/>
                <w:sz w:val="32"/>
              </w:rPr>
              <w:t>2、提供包含监测对象、监测内容、风险研判、统计分析，主要对风险进行监测和管控，风险上报进行工单审批，以及对风险信息的统计。</w:t>
            </w:r>
            <w:r>
              <w:rPr>
                <w:rFonts w:ascii="仿宋_gb2312" w:hAnsi="仿宋_gb2312" w:cs="仿宋_gb2312" w:eastAsia="仿宋_gb2312"/>
                <w:sz w:val="32"/>
              </w:rPr>
              <w:t>3、风险研判包括村级认定、镇级审核、县级审定，从发现风险点进入工单进行各级审核。</w:t>
            </w:r>
            <w:r>
              <w:rPr>
                <w:rFonts w:ascii="仿宋_gb2312" w:hAnsi="仿宋_gb2312" w:cs="仿宋_gb2312" w:eastAsia="仿宋_gb2312"/>
                <w:sz w:val="32"/>
              </w:rPr>
              <w:t>4、提供用现代化的技术水平解决个性化表单，支持个性化定制查询表单，生成统计报表。</w:t>
            </w:r>
          </w:p>
          <w:p>
            <w:pPr>
              <w:pStyle w:val="null3"/>
              <w:jc w:val="both"/>
            </w:pPr>
            <w:r>
              <w:rPr>
                <w:rFonts w:ascii="仿宋_gb2312" w:hAnsi="仿宋_gb2312" w:cs="仿宋_gb2312" w:eastAsia="仿宋_gb2312"/>
                <w:b/>
                <w:sz w:val="32"/>
              </w:rPr>
              <w:t xml:space="preserve">  （二）数据大屏维护：</w:t>
            </w:r>
            <w:r>
              <w:rPr>
                <w:rFonts w:ascii="仿宋_gb2312" w:hAnsi="仿宋_gb2312" w:cs="仿宋_gb2312" w:eastAsia="仿宋_gb2312"/>
                <w:sz w:val="32"/>
              </w:rPr>
              <w:t>可视化展示系统是用在大数据领域前端实时显示的显示屏，用炫酷的视觉体验将数据显示在大屏上，有利于领导从图上直观获取有效的数据信息。</w:t>
            </w:r>
          </w:p>
          <w:p>
            <w:pPr>
              <w:pStyle w:val="null3"/>
              <w:jc w:val="both"/>
            </w:pPr>
            <w:r>
              <w:rPr>
                <w:rFonts w:ascii="仿宋_gb2312" w:hAnsi="仿宋_gb2312" w:cs="仿宋_gb2312" w:eastAsia="仿宋_gb2312"/>
                <w:b/>
                <w:sz w:val="32"/>
              </w:rPr>
              <w:t xml:space="preserve">  （三）系统管理：</w:t>
            </w:r>
            <w:r>
              <w:rPr>
                <w:rFonts w:ascii="仿宋_gb2312" w:hAnsi="仿宋_gb2312" w:cs="仿宋_gb2312" w:eastAsia="仿宋_gb2312"/>
                <w:sz w:val="32"/>
              </w:rPr>
              <w:t>主要针对系统管理员提供平台的配置维护管理功能，通过该子系统保障大数据管理平台稳定运行。</w:t>
            </w:r>
          </w:p>
          <w:p>
            <w:pPr>
              <w:pStyle w:val="null3"/>
              <w:jc w:val="both"/>
            </w:pPr>
            <w:r>
              <w:rPr>
                <w:rFonts w:ascii="仿宋_gb2312" w:hAnsi="仿宋_gb2312" w:cs="仿宋_gb2312" w:eastAsia="仿宋_gb2312"/>
                <w:b/>
                <w:sz w:val="32"/>
              </w:rPr>
              <w:t xml:space="preserve">  （四）信息采集应用：</w:t>
            </w:r>
            <w:r>
              <w:rPr>
                <w:rFonts w:ascii="仿宋_gb2312" w:hAnsi="仿宋_gb2312" w:cs="仿宋_gb2312" w:eastAsia="仿宋_gb2312"/>
                <w:sz w:val="32"/>
              </w:rPr>
              <w:t>支持数据编辑和采集功能，支持二维码发布采集链接，支持扫码跳转采集界面，支持数据采集上报，支持单选、多选、文本、判断等调查问卷采集方式，同时支持定位、图片上传等功能，支持关闭问卷、开启问卷、统计数据、导出数据等功能，支持考核、抽奖、矩阵测评等功能。</w:t>
            </w:r>
          </w:p>
          <w:p>
            <w:pPr>
              <w:pStyle w:val="null3"/>
              <w:jc w:val="both"/>
            </w:pPr>
          </w:p>
        </w:tc>
      </w:tr>
    </w:tbl>
    <w:p>
      <w:pPr>
        <w:pStyle w:val="null3"/>
        <w:outlineLvl w:val="3"/>
      </w:pPr>
      <w:r>
        <w:rPr>
          <w:b/>
          <w:sz w:val="24"/>
        </w:rPr>
        <w:t>3.2.3人员配置要求</w:t>
      </w:r>
    </w:p>
    <w:p>
      <w:pPr>
        <w:pStyle w:val="null3"/>
      </w:pPr>
      <w:r>
        <w:rPr/>
        <w:t>采购包1：</w:t>
      </w:r>
    </w:p>
    <w:p>
      <w:pPr>
        <w:pStyle w:val="null3"/>
      </w:pPr>
      <w:r>
        <w:rPr/>
        <w:t>满足采购文件要求</w:t>
      </w:r>
    </w:p>
    <w:p>
      <w:pPr>
        <w:pStyle w:val="null3"/>
        <w:outlineLvl w:val="3"/>
      </w:pPr>
      <w:r>
        <w:rPr>
          <w:b/>
          <w:sz w:val="24"/>
        </w:rPr>
        <w:t>3.2.4设施设备要求</w:t>
      </w:r>
    </w:p>
    <w:p>
      <w:pPr>
        <w:pStyle w:val="null3"/>
      </w:pPr>
      <w:r>
        <w:rPr/>
        <w:t>采购包1：</w:t>
      </w:r>
    </w:p>
    <w:p>
      <w:pPr>
        <w:pStyle w:val="null3"/>
      </w:pPr>
      <w:r>
        <w:rPr/>
        <w:t>满足采购文件要求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365日历天（2024年7月1日至2025年6月30日）</w:t>
      </w:r>
    </w:p>
    <w:p>
      <w:pPr>
        <w:pStyle w:val="null3"/>
        <w:outlineLvl w:val="3"/>
      </w:pPr>
      <w:r>
        <w:rPr>
          <w:b/>
          <w:sz w:val="24"/>
        </w:rPr>
        <w:t>3.3.2服务地点</w:t>
      </w:r>
    </w:p>
    <w:p>
      <w:pPr>
        <w:pStyle w:val="null3"/>
      </w:pPr>
      <w:r>
        <w:rPr/>
        <w:t>采购包1：</w:t>
      </w:r>
    </w:p>
    <w:p>
      <w:pPr>
        <w:pStyle w:val="null3"/>
      </w:pPr>
      <w:r>
        <w:rPr/>
        <w:t>西安市鄠邑区</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合同签订生效后</w:t>
      </w:r>
      <w:r>
        <w:rPr/>
        <w:t xml:space="preserve"> ，达到付款条件起 </w:t>
      </w:r>
      <w:r>
        <w:rPr/>
        <w:t>30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1、验收：合同签订且平台上线运行正常，5天内进行终验，终验合格后，视为平台终验合格。 2、验收不合格的，乙方必须在接到通知后5个日历日内保证系统运行正常。 3、验收依据 单一来源谈判文件、单一来源响应文件、合同文本、国内相应的标准、规范。</w:t>
      </w:r>
    </w:p>
    <w:p>
      <w:pPr>
        <w:pStyle w:val="null3"/>
        <w:outlineLvl w:val="3"/>
      </w:pPr>
      <w:r>
        <w:rPr>
          <w:b/>
          <w:sz w:val="24"/>
        </w:rPr>
        <w:t>3.3.6违约责任及解决争议的方法</w:t>
      </w:r>
    </w:p>
    <w:p>
      <w:pPr>
        <w:pStyle w:val="null3"/>
      </w:pPr>
      <w:r>
        <w:rPr/>
        <w:t>采购包1：</w:t>
      </w:r>
    </w:p>
    <w:p>
      <w:pPr>
        <w:pStyle w:val="null3"/>
      </w:pPr>
      <w:r>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1、由于甲方原因造成服务滞后拖延，乙方可向甲方提出，甲方应在1个工作日内协调解决此问题，否则造成的服务滞后拖延由甲方负责。 2、在实施过程中由于乙方原因造成服务滞后拖延，甲方可向乙方提出，乙方应在1个工作日内响应，否则造成的服务滞后延误由乙方负责。 3、违约金计算方式为：合同总额的0.05%/每日计×期天数。 4、由于客观不可控因素而导致的乙方服务滞后拖延的，不应视为乙方违约，但乙方应积极从技术方案上寻求解决办法，以保证甲方系统的正常平稳运行。</w:t>
      </w:r>
    </w:p>
    <w:p>
      <w:pPr>
        <w:pStyle w:val="null3"/>
        <w:outlineLvl w:val="2"/>
      </w:pPr>
      <w:r>
        <w:rPr>
          <w:b/>
          <w:sz w:val="28"/>
        </w:rPr>
        <w:t>3.4其他要求</w:t>
      </w:r>
    </w:p>
    <w:p>
      <w:pPr>
        <w:pStyle w:val="null3"/>
      </w:pPr>
      <w:r>
        <w:rPr/>
        <w:t>采购包1：</w:t>
      </w:r>
    </w:p>
    <w:p>
      <w:pPr>
        <w:pStyle w:val="null3"/>
      </w:pPr>
      <w:r>
        <w:rPr/>
        <w:t>成交供应商在结果公告发出后5个工作日内将响应文件正本纸质版及电子版一份（U盘）邮寄到西安市鄠邑区人民路中段御苑新城东门3楼5层</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 xml:space="preserve"> 法定代表人授权委托书（附法定代表人身份证复印件）及被授权委托人身份证（法定代表人参加磋商只须提供法定代表人身份证）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w:t>
            </w:r>
          </w:p>
        </w:tc>
        <w:tc>
          <w:tcPr>
            <w:tcW w:type="dxa" w:w="3322"/>
          </w:tcPr>
          <w:p>
            <w:pPr>
              <w:pStyle w:val="null3"/>
            </w:pPr>
            <w:r>
              <w:rPr/>
              <w:t>提供2021年度或2022年度或2023年度经审计的财务会计报告(包括审计报告、资产负债表、利润表，成立时间至提交投标文件截止时间不足一年的可提供成立后任意时段的资产负债表)，或其开标前三个月内基本存款账户开户银行出具的资信证明及基本存款账户开户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提交响应文件截止时间前一年以来已缴存的至少一个月的社会保障资金缴存单据或社保机构开具的社会保险参保缴费情况证明和社会保险的相关证明材料；注：依法免税或不需要缴纳社会保险的供应商提供相关部门出具的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税务状况</w:t>
            </w:r>
          </w:p>
        </w:tc>
        <w:tc>
          <w:tcPr>
            <w:tcW w:type="dxa" w:w="3322"/>
          </w:tcPr>
          <w:p>
            <w:pPr>
              <w:pStyle w:val="null3"/>
            </w:pPr>
            <w:r>
              <w:rPr/>
              <w:t>提供递交投标文件截止之日前一年内任意一个月的纳税证明或完税证明，纳税证明或完税证明上应有代收机构或税收机关的公章，依法免税的应提供相关证明材料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履行合同所必需的专业技术能力的承诺</w:t>
            </w:r>
          </w:p>
        </w:tc>
        <w:tc>
          <w:tcPr>
            <w:tcW w:type="dxa" w:w="3322"/>
          </w:tcPr>
          <w:p>
            <w:pPr>
              <w:pStyle w:val="null3"/>
            </w:pPr>
            <w:r>
              <w:rPr/>
              <w:t>提供具有履行合同所必需的专业技术能力的承诺</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参加本次政府采购活动前三年内在经营活动中没有重大违法记录、未被列入失信被执行人、重大税收违法案件当事人名单、政府采购严重违法失信行为记录名单的书面声明</w:t>
            </w:r>
          </w:p>
        </w:tc>
        <w:tc>
          <w:tcPr>
            <w:tcW w:type="dxa" w:w="1661"/>
          </w:tcPr>
          <w:p>
            <w:pPr>
              <w:pStyle w:val="null3"/>
            </w:pPr>
            <w:r>
              <w:rPr/>
              <w:t>供应商应提交的相关资格证明材料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响应文件的签署、加盖印章是否合格、有效</w:t>
            </w:r>
          </w:p>
        </w:tc>
        <w:tc>
          <w:tcPr>
            <w:tcW w:type="dxa" w:w="3322"/>
          </w:tcPr>
          <w:p>
            <w:pPr>
              <w:pStyle w:val="null3"/>
            </w:pPr>
            <w:r>
              <w:rPr/>
              <w:t>符合采购文件要求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响应文件有效期是否符合采购文件要求</w:t>
            </w:r>
          </w:p>
        </w:tc>
        <w:tc>
          <w:tcPr>
            <w:tcW w:type="dxa" w:w="3322"/>
          </w:tcPr>
          <w:p>
            <w:pPr>
              <w:pStyle w:val="null3"/>
            </w:pPr>
            <w:r>
              <w:rPr/>
              <w:t>符合采购文件要求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报价超过采购预算的</w:t>
            </w:r>
          </w:p>
        </w:tc>
        <w:tc>
          <w:tcPr>
            <w:tcW w:type="dxa" w:w="3322"/>
          </w:tcPr>
          <w:p>
            <w:pPr>
              <w:pStyle w:val="null3"/>
            </w:pPr>
            <w:r>
              <w:rPr/>
              <w:t>符合采购文件要求</w:t>
            </w:r>
          </w:p>
        </w:tc>
        <w:tc>
          <w:tcPr>
            <w:tcW w:type="dxa" w:w="1661"/>
          </w:tcPr>
          <w:p>
            <w:pPr>
              <w:pStyle w:val="null3"/>
            </w:pPr>
            <w:r>
              <w:rPr/>
              <w:t>报价表 响应函</w:t>
            </w:r>
          </w:p>
        </w:tc>
      </w:tr>
      <w:tr>
        <w:tc>
          <w:tcPr>
            <w:tcW w:type="dxa" w:w="831"/>
          </w:tcPr>
          <w:p>
            <w:pPr>
              <w:pStyle w:val="null3"/>
            </w:pPr>
            <w:r>
              <w:rPr/>
              <w:t>7</w:t>
            </w:r>
          </w:p>
        </w:tc>
        <w:tc>
          <w:tcPr>
            <w:tcW w:type="dxa" w:w="2492"/>
          </w:tcPr>
          <w:p>
            <w:pPr>
              <w:pStyle w:val="null3"/>
            </w:pPr>
            <w:r>
              <w:rPr/>
              <w:t>响应文件内容</w:t>
            </w:r>
          </w:p>
        </w:tc>
        <w:tc>
          <w:tcPr>
            <w:tcW w:type="dxa" w:w="3322"/>
          </w:tcPr>
          <w:p>
            <w:pPr>
              <w:pStyle w:val="null3"/>
            </w:pPr>
            <w:r>
              <w:rPr/>
              <w:t>符合采购文件要求</w:t>
            </w:r>
          </w:p>
        </w:tc>
        <w:tc>
          <w:tcPr>
            <w:tcW w:type="dxa" w:w="1661"/>
          </w:tcPr>
          <w:p>
            <w:pPr>
              <w:pStyle w:val="null3"/>
            </w:pPr>
            <w:r>
              <w:rPr/>
              <w:t>服务方案</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详见附件：西安市鄠邑区防返贫监测预警平台[原西安市鄠邑区大数据平台2024年平台软件服务及配套项目].docx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